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0" w:type="dxa"/>
        <w:tblInd w:w="-142" w:type="dxa"/>
        <w:tblLayout w:type="fixed"/>
        <w:tblCellMar>
          <w:left w:w="0" w:type="dxa"/>
          <w:right w:w="0" w:type="dxa"/>
        </w:tblCellMar>
        <w:tblLook w:val="04A0" w:firstRow="1" w:lastRow="0" w:firstColumn="1" w:lastColumn="0" w:noHBand="0" w:noVBand="1"/>
      </w:tblPr>
      <w:tblGrid>
        <w:gridCol w:w="10206"/>
        <w:gridCol w:w="78"/>
        <w:gridCol w:w="64"/>
      </w:tblGrid>
      <w:tr w:rsidR="00FD7278" w:rsidRPr="00FD7278" w:rsidTr="000D14EC">
        <w:trPr>
          <w:tblCellSpacing w:w="0" w:type="dxa"/>
        </w:trPr>
        <w:tc>
          <w:tcPr>
            <w:tcW w:w="10206" w:type="dxa"/>
            <w:hideMark/>
          </w:tcPr>
          <w:p w:rsidR="00057CB1" w:rsidRPr="00E352CC" w:rsidRDefault="00057CB1" w:rsidP="00057CB1">
            <w:pPr>
              <w:jc w:val="center"/>
              <w:rPr>
                <w:rFonts w:cs="Times New Roman"/>
                <w:sz w:val="24"/>
                <w:szCs w:val="24"/>
              </w:rPr>
            </w:pPr>
            <w:bookmarkStart w:id="0" w:name="_GoBack"/>
            <w:bookmarkEnd w:id="0"/>
            <w:r w:rsidRPr="00E352CC">
              <w:rPr>
                <w:rFonts w:cs="Times New Roman"/>
                <w:sz w:val="24"/>
                <w:szCs w:val="24"/>
              </w:rPr>
              <w:t>Likumprojekta</w:t>
            </w:r>
          </w:p>
          <w:p w:rsidR="00057CB1" w:rsidRPr="00E352CC" w:rsidRDefault="00057CB1" w:rsidP="00057CB1">
            <w:pPr>
              <w:jc w:val="center"/>
              <w:rPr>
                <w:rFonts w:cs="Times New Roman"/>
                <w:b/>
                <w:sz w:val="24"/>
                <w:szCs w:val="24"/>
              </w:rPr>
            </w:pPr>
            <w:r w:rsidRPr="00E352CC">
              <w:rPr>
                <w:rFonts w:cs="Times New Roman"/>
                <w:b/>
                <w:sz w:val="24"/>
                <w:szCs w:val="24"/>
              </w:rPr>
              <w:t xml:space="preserve">„Grozījumi „Militārpersonu izdienas pensiju likumā”” </w:t>
            </w:r>
          </w:p>
          <w:p w:rsidR="00FD1817" w:rsidRPr="00FD7278" w:rsidRDefault="00057CB1" w:rsidP="00572AF9">
            <w:pPr>
              <w:jc w:val="center"/>
              <w:rPr>
                <w:rFonts w:cs="Times New Roman"/>
                <w:i/>
                <w:iCs/>
                <w:sz w:val="24"/>
                <w:szCs w:val="24"/>
                <w:lang w:eastAsia="lv-LV" w:bidi="ar-SA"/>
              </w:rPr>
            </w:pPr>
            <w:r w:rsidRPr="00E352CC">
              <w:rPr>
                <w:rFonts w:cs="Times New Roman"/>
                <w:sz w:val="24"/>
                <w:szCs w:val="24"/>
              </w:rPr>
              <w:t>sākotnējās ietekmes novērtējuma ziņojums (anotācija)</w:t>
            </w:r>
          </w:p>
          <w:tbl>
            <w:tblPr>
              <w:tblW w:w="1005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2274"/>
              <w:gridCol w:w="7377"/>
            </w:tblGrid>
            <w:tr w:rsidR="00FD7278" w:rsidRPr="00FD7278" w:rsidTr="00E352CC">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FD1817" w:rsidRPr="00E352CC" w:rsidRDefault="00FD1817" w:rsidP="00FD1817">
                  <w:pPr>
                    <w:spacing w:before="100" w:beforeAutospacing="1" w:after="100" w:afterAutospacing="1" w:line="360" w:lineRule="auto"/>
                    <w:jc w:val="center"/>
                    <w:rPr>
                      <w:rFonts w:cs="Times New Roman"/>
                      <w:b/>
                      <w:bCs/>
                      <w:sz w:val="24"/>
                      <w:szCs w:val="24"/>
                      <w:lang w:eastAsia="lv-LV" w:bidi="ar-SA"/>
                    </w:rPr>
                  </w:pPr>
                  <w:r w:rsidRPr="00E352CC">
                    <w:rPr>
                      <w:rFonts w:cs="Times New Roman"/>
                      <w:b/>
                      <w:bCs/>
                      <w:sz w:val="24"/>
                      <w:szCs w:val="24"/>
                      <w:lang w:eastAsia="lv-LV" w:bidi="ar-SA"/>
                    </w:rPr>
                    <w:t>I. Tiesību akta projekta izstrādes nepieciešamība</w:t>
                  </w:r>
                </w:p>
              </w:tc>
            </w:tr>
            <w:tr w:rsidR="00FD7278" w:rsidRPr="00FD7278" w:rsidTr="00E352CC">
              <w:trPr>
                <w:trHeight w:val="405"/>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spacing w:before="100" w:beforeAutospacing="1" w:after="100" w:afterAutospacing="1" w:line="360" w:lineRule="auto"/>
                    <w:jc w:val="center"/>
                    <w:rPr>
                      <w:rFonts w:cs="Times New Roman"/>
                      <w:sz w:val="24"/>
                      <w:szCs w:val="24"/>
                      <w:lang w:eastAsia="lv-LV" w:bidi="ar-SA"/>
                    </w:rPr>
                  </w:pPr>
                  <w:r w:rsidRPr="00FD7278">
                    <w:rPr>
                      <w:rFonts w:cs="Times New Roman"/>
                      <w:sz w:val="24"/>
                      <w:szCs w:val="24"/>
                      <w:lang w:eastAsia="lv-LV" w:bidi="ar-SA"/>
                    </w:rPr>
                    <w:t>1.</w:t>
                  </w:r>
                </w:p>
              </w:tc>
              <w:tc>
                <w:tcPr>
                  <w:tcW w:w="1122" w:type="pct"/>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Pamatojums</w:t>
                  </w:r>
                </w:p>
              </w:tc>
              <w:tc>
                <w:tcPr>
                  <w:tcW w:w="3638" w:type="pct"/>
                  <w:tcBorders>
                    <w:top w:val="outset" w:sz="6" w:space="0" w:color="auto"/>
                    <w:left w:val="outset" w:sz="6" w:space="0" w:color="auto"/>
                    <w:bottom w:val="outset" w:sz="6" w:space="0" w:color="auto"/>
                    <w:right w:val="outset" w:sz="6" w:space="0" w:color="auto"/>
                  </w:tcBorders>
                  <w:hideMark/>
                </w:tcPr>
                <w:p w:rsidR="00FD1817" w:rsidRPr="00FD7278" w:rsidRDefault="00530894" w:rsidP="00530894">
                  <w:pPr>
                    <w:ind w:firstLine="720"/>
                    <w:jc w:val="both"/>
                    <w:rPr>
                      <w:rFonts w:cs="Times New Roman"/>
                      <w:sz w:val="24"/>
                      <w:szCs w:val="24"/>
                      <w:lang w:eastAsia="lv-LV" w:bidi="ar-SA"/>
                    </w:rPr>
                  </w:pPr>
                  <w:r w:rsidRPr="00E352CC">
                    <w:rPr>
                      <w:rFonts w:cs="Times New Roman"/>
                      <w:sz w:val="24"/>
                      <w:szCs w:val="24"/>
                    </w:rPr>
                    <w:t>“</w:t>
                  </w:r>
                  <w:r w:rsidRPr="00FD7278">
                    <w:rPr>
                      <w:rFonts w:cs="Times New Roman"/>
                      <w:sz w:val="24"/>
                      <w:szCs w:val="24"/>
                    </w:rPr>
                    <w:t>Grozījumi Militārpersonu izdienas pensiju likumā (turpmāk – MIPL)</w:t>
                  </w:r>
                  <w:r w:rsidRPr="00F31852">
                    <w:rPr>
                      <w:rFonts w:cs="Times New Roman"/>
                      <w:sz w:val="24"/>
                      <w:szCs w:val="24"/>
                    </w:rPr>
                    <w:t xml:space="preserve"> ir izstrādāti, lai motivētu karavīrus turpināt profesionālo dienestu maksimāli ilgi, kā arī nepieciešamības gadījumā atgriezties profesionālajā dienestā pēc atvaļināšanās</w:t>
                  </w:r>
                  <w:r w:rsidR="00C96E16" w:rsidRPr="00E352CC">
                    <w:rPr>
                      <w:rFonts w:cs="Times New Roman"/>
                      <w:sz w:val="24"/>
                      <w:szCs w:val="24"/>
                    </w:rPr>
                    <w:t>.</w:t>
                  </w:r>
                </w:p>
              </w:tc>
            </w:tr>
            <w:tr w:rsidR="00FD7278" w:rsidRPr="00FD7278" w:rsidTr="00E352CC">
              <w:trPr>
                <w:trHeight w:val="465"/>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spacing w:before="100" w:beforeAutospacing="1" w:after="100" w:afterAutospacing="1" w:line="360" w:lineRule="auto"/>
                    <w:jc w:val="center"/>
                    <w:rPr>
                      <w:rFonts w:cs="Times New Roman"/>
                      <w:sz w:val="24"/>
                      <w:szCs w:val="24"/>
                      <w:lang w:eastAsia="lv-LV" w:bidi="ar-SA"/>
                    </w:rPr>
                  </w:pPr>
                  <w:r w:rsidRPr="00FD7278">
                    <w:rPr>
                      <w:rFonts w:cs="Times New Roman"/>
                      <w:sz w:val="24"/>
                      <w:szCs w:val="24"/>
                      <w:lang w:eastAsia="lv-LV" w:bidi="ar-SA"/>
                    </w:rPr>
                    <w:t>2.</w:t>
                  </w:r>
                </w:p>
              </w:tc>
              <w:tc>
                <w:tcPr>
                  <w:tcW w:w="1122" w:type="pct"/>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Pašreizējā situācija un problēmas, kuru risināšanai tiesību akta projekts izstrādāts, tiesiskā regulējuma mērķis un būtība</w:t>
                  </w:r>
                </w:p>
              </w:tc>
              <w:tc>
                <w:tcPr>
                  <w:tcW w:w="3638" w:type="pct"/>
                  <w:tcBorders>
                    <w:top w:val="outset" w:sz="6" w:space="0" w:color="auto"/>
                    <w:left w:val="outset" w:sz="6" w:space="0" w:color="auto"/>
                    <w:bottom w:val="outset" w:sz="6" w:space="0" w:color="auto"/>
                    <w:right w:val="outset" w:sz="6" w:space="0" w:color="auto"/>
                  </w:tcBorders>
                  <w:hideMark/>
                </w:tcPr>
                <w:p w:rsidR="00D34491" w:rsidRDefault="00DF4CDE" w:rsidP="00D34491">
                  <w:pPr>
                    <w:pStyle w:val="tv2132"/>
                    <w:spacing w:line="240" w:lineRule="auto"/>
                    <w:rPr>
                      <w:sz w:val="24"/>
                      <w:szCs w:val="24"/>
                      <w:lang w:val="lv-LV"/>
                    </w:rPr>
                  </w:pPr>
                  <w:r w:rsidRPr="00D34491">
                    <w:rPr>
                      <w:sz w:val="24"/>
                      <w:szCs w:val="24"/>
                      <w:lang w:val="lv-LV"/>
                    </w:rPr>
                    <w:t xml:space="preserve">     </w:t>
                  </w:r>
                  <w:r w:rsidR="00D34491" w:rsidRPr="00D34491">
                    <w:rPr>
                      <w:sz w:val="24"/>
                      <w:szCs w:val="24"/>
                      <w:lang w:val="lv-LV"/>
                    </w:rPr>
                    <w:t xml:space="preserve">MIPL nosaka ka Tiesības uz izdienas pensiju ir militārpersonai, kurai saskaņā ar šā likuma </w:t>
                  </w:r>
                  <w:hyperlink r:id="rId9" w:anchor="p3" w:tgtFrame="_blank" w:history="1">
                    <w:r w:rsidR="00D34491" w:rsidRPr="00D34491">
                      <w:rPr>
                        <w:color w:val="16497B"/>
                        <w:sz w:val="24"/>
                        <w:szCs w:val="24"/>
                        <w:lang w:val="lv-LV"/>
                      </w:rPr>
                      <w:t>3.pantu</w:t>
                    </w:r>
                  </w:hyperlink>
                  <w:r w:rsidR="00D34491">
                    <w:rPr>
                      <w:sz w:val="24"/>
                      <w:szCs w:val="24"/>
                      <w:lang w:val="lv-LV"/>
                    </w:rPr>
                    <w:t xml:space="preserve"> </w:t>
                  </w:r>
                  <w:r w:rsidR="00D34491" w:rsidRPr="00D34491">
                    <w:rPr>
                      <w:sz w:val="24"/>
                      <w:szCs w:val="24"/>
                      <w:lang w:val="lv-LV"/>
                    </w:rPr>
                    <w:t xml:space="preserve">aprēķinātais </w:t>
                  </w:r>
                  <w:r w:rsidR="00D34491" w:rsidRPr="00D34491">
                    <w:rPr>
                      <w:sz w:val="24"/>
                      <w:szCs w:val="24"/>
                      <w:u w:val="single"/>
                      <w:lang w:val="lv-LV"/>
                    </w:rPr>
                    <w:t>izdienas stāžs</w:t>
                  </w:r>
                  <w:r w:rsidR="00D34491">
                    <w:rPr>
                      <w:sz w:val="24"/>
                      <w:szCs w:val="24"/>
                      <w:lang w:val="lv-LV"/>
                    </w:rPr>
                    <w:t xml:space="preserve"> ir</w:t>
                  </w:r>
                  <w:proofErr w:type="gramStart"/>
                  <w:r w:rsidR="00D34491">
                    <w:rPr>
                      <w:sz w:val="24"/>
                      <w:szCs w:val="24"/>
                      <w:lang w:val="lv-LV"/>
                    </w:rPr>
                    <w:t xml:space="preserve"> </w:t>
                  </w:r>
                  <w:r w:rsidR="00D34491" w:rsidRPr="00D34491">
                    <w:rPr>
                      <w:sz w:val="24"/>
                      <w:szCs w:val="24"/>
                      <w:lang w:val="lv-LV"/>
                    </w:rPr>
                    <w:t xml:space="preserve"> </w:t>
                  </w:r>
                  <w:proofErr w:type="gramEnd"/>
                  <w:r w:rsidR="00D34491" w:rsidRPr="00D34491">
                    <w:rPr>
                      <w:sz w:val="24"/>
                      <w:szCs w:val="24"/>
                      <w:lang w:val="lv-LV"/>
                    </w:rPr>
                    <w:t xml:space="preserve">ne mazāks par 20 gadiem, ja militārpersona </w:t>
                  </w:r>
                  <w:r w:rsidR="00D34491" w:rsidRPr="00D34491">
                    <w:rPr>
                      <w:sz w:val="24"/>
                      <w:szCs w:val="24"/>
                      <w:u w:val="single"/>
                      <w:lang w:val="lv-LV"/>
                    </w:rPr>
                    <w:t>nodienējusi</w:t>
                  </w:r>
                  <w:r w:rsidR="00D34491">
                    <w:rPr>
                      <w:sz w:val="24"/>
                      <w:szCs w:val="24"/>
                      <w:lang w:val="lv-LV"/>
                    </w:rPr>
                    <w:t xml:space="preserve"> ne mazāk kā 15 gadus, kā arī paredz atsevišķus izņēmuma gadījumus.</w:t>
                  </w:r>
                </w:p>
                <w:p w:rsidR="00726155" w:rsidRPr="00A33569" w:rsidRDefault="00726155" w:rsidP="00D34491">
                  <w:pPr>
                    <w:pStyle w:val="tv2132"/>
                    <w:spacing w:line="240" w:lineRule="auto"/>
                    <w:rPr>
                      <w:sz w:val="24"/>
                      <w:szCs w:val="24"/>
                      <w:lang w:val="lv-LV"/>
                    </w:rPr>
                  </w:pPr>
                  <w:r w:rsidRPr="00A33569">
                    <w:rPr>
                      <w:sz w:val="24"/>
                      <w:szCs w:val="24"/>
                      <w:lang w:val="lv-LV"/>
                    </w:rPr>
                    <w:t>M</w:t>
                  </w:r>
                  <w:r w:rsidR="00D34491" w:rsidRPr="00A33569">
                    <w:rPr>
                      <w:sz w:val="24"/>
                      <w:szCs w:val="24"/>
                      <w:lang w:val="lv-LV"/>
                    </w:rPr>
                    <w:t>IPL</w:t>
                  </w:r>
                  <w:r w:rsidRPr="00A33569">
                    <w:rPr>
                      <w:sz w:val="24"/>
                      <w:szCs w:val="24"/>
                      <w:lang w:val="lv-LV"/>
                    </w:rPr>
                    <w:t xml:space="preserve"> tiek lietoti divi termini:</w:t>
                  </w:r>
                </w:p>
                <w:p w:rsidR="00726155" w:rsidRPr="00534300" w:rsidRDefault="00726155" w:rsidP="00726155">
                  <w:pPr>
                    <w:jc w:val="both"/>
                    <w:rPr>
                      <w:rFonts w:cs="Times New Roman"/>
                      <w:sz w:val="24"/>
                      <w:szCs w:val="24"/>
                    </w:rPr>
                  </w:pPr>
                  <w:r w:rsidRPr="00534300">
                    <w:rPr>
                      <w:rFonts w:cs="Times New Roman"/>
                      <w:b/>
                      <w:sz w:val="24"/>
                      <w:szCs w:val="24"/>
                    </w:rPr>
                    <w:t xml:space="preserve">“nodienējis” </w:t>
                  </w:r>
                  <w:r w:rsidR="00A33569">
                    <w:rPr>
                      <w:rFonts w:cs="Times New Roman"/>
                      <w:sz w:val="24"/>
                      <w:szCs w:val="24"/>
                    </w:rPr>
                    <w:t xml:space="preserve">– </w:t>
                  </w:r>
                  <w:r w:rsidRPr="00534300">
                    <w:rPr>
                      <w:rFonts w:cs="Times New Roman"/>
                      <w:sz w:val="24"/>
                      <w:szCs w:val="24"/>
                    </w:rPr>
                    <w:t>ir nodienētais laiks kalendārā izteiksmē</w:t>
                  </w:r>
                  <w:proofErr w:type="gramStart"/>
                  <w:r w:rsidRPr="00534300">
                    <w:rPr>
                      <w:rFonts w:cs="Times New Roman"/>
                      <w:sz w:val="24"/>
                      <w:szCs w:val="24"/>
                    </w:rPr>
                    <w:t xml:space="preserve">  </w:t>
                  </w:r>
                  <w:proofErr w:type="gramEnd"/>
                  <w:r w:rsidRPr="00534300">
                    <w:rPr>
                      <w:rFonts w:cs="Times New Roman"/>
                      <w:sz w:val="24"/>
                      <w:szCs w:val="24"/>
                    </w:rPr>
                    <w:t>no dienas, kad karavīrs ir uzsācis profesionālo militāros dienestu līdz dienai, kad karavīrs ir atvaļināts no profesionālā militārā dienesta;</w:t>
                  </w:r>
                </w:p>
                <w:p w:rsidR="00726155" w:rsidRDefault="00726155" w:rsidP="00726155">
                  <w:pPr>
                    <w:jc w:val="both"/>
                    <w:rPr>
                      <w:rFonts w:cs="Times New Roman"/>
                      <w:sz w:val="24"/>
                      <w:szCs w:val="24"/>
                    </w:rPr>
                  </w:pPr>
                  <w:r>
                    <w:rPr>
                      <w:rFonts w:cs="Times New Roman"/>
                      <w:b/>
                      <w:sz w:val="24"/>
                      <w:szCs w:val="24"/>
                    </w:rPr>
                    <w:t>“i</w:t>
                  </w:r>
                  <w:r w:rsidRPr="00560D08">
                    <w:rPr>
                      <w:rFonts w:cs="Times New Roman"/>
                      <w:b/>
                      <w:sz w:val="24"/>
                      <w:szCs w:val="24"/>
                    </w:rPr>
                    <w:t>zdienas stāžs</w:t>
                  </w:r>
                  <w:r>
                    <w:rPr>
                      <w:rFonts w:cs="Times New Roman"/>
                      <w:b/>
                      <w:sz w:val="24"/>
                      <w:szCs w:val="24"/>
                    </w:rPr>
                    <w:t>”</w:t>
                  </w:r>
                  <w:r>
                    <w:rPr>
                      <w:rFonts w:cs="Times New Roman"/>
                      <w:sz w:val="24"/>
                      <w:szCs w:val="24"/>
                    </w:rPr>
                    <w:t xml:space="preserve"> – veido aprēķināto laiku, kurā iekļauti MIPL 3. un </w:t>
                  </w:r>
                  <w:proofErr w:type="gramStart"/>
                  <w:r>
                    <w:rPr>
                      <w:rFonts w:cs="Times New Roman"/>
                      <w:sz w:val="24"/>
                      <w:szCs w:val="24"/>
                    </w:rPr>
                    <w:t>4.pantā</w:t>
                  </w:r>
                  <w:proofErr w:type="gramEnd"/>
                  <w:r>
                    <w:rPr>
                      <w:rFonts w:cs="Times New Roman"/>
                      <w:sz w:val="24"/>
                      <w:szCs w:val="24"/>
                    </w:rPr>
                    <w:t xml:space="preserve"> papildus uzskaitītie dienesta, darba un tam pielīdzinātie laika periodi, kā arī profesionālā militārā dienesta laika periodi, kas ieskaitāmi izdienas stāžā palielinātā apmērā.</w:t>
                  </w:r>
                </w:p>
                <w:p w:rsidR="00E863F7" w:rsidRPr="00FD7278" w:rsidRDefault="00DF4CDE" w:rsidP="00B646C8">
                  <w:pPr>
                    <w:jc w:val="both"/>
                    <w:rPr>
                      <w:rFonts w:cs="Times New Roman"/>
                      <w:bCs/>
                      <w:sz w:val="24"/>
                      <w:szCs w:val="24"/>
                      <w:lang w:eastAsia="zh-TW" w:bidi="ar-SA"/>
                    </w:rPr>
                  </w:pPr>
                  <w:r w:rsidRPr="00F6608D">
                    <w:rPr>
                      <w:rFonts w:cs="Times New Roman"/>
                      <w:sz w:val="24"/>
                      <w:szCs w:val="24"/>
                    </w:rPr>
                    <w:t xml:space="preserve">  </w:t>
                  </w:r>
                  <w:r w:rsidR="00057CB1" w:rsidRPr="00F6608D">
                    <w:rPr>
                      <w:rFonts w:cs="Times New Roman"/>
                      <w:sz w:val="24"/>
                      <w:szCs w:val="24"/>
                    </w:rPr>
                    <w:t>Karavīru sociālajām garantijām jābūt saistī</w:t>
                  </w:r>
                  <w:r w:rsidR="00F21E33" w:rsidRPr="00F6608D">
                    <w:rPr>
                      <w:rFonts w:cs="Times New Roman"/>
                      <w:sz w:val="24"/>
                      <w:szCs w:val="24"/>
                    </w:rPr>
                    <w:t xml:space="preserve">tām </w:t>
                  </w:r>
                  <w:r w:rsidR="00F21E33" w:rsidRPr="00D479F7">
                    <w:rPr>
                      <w:rFonts w:cs="Times New Roman"/>
                      <w:sz w:val="24"/>
                      <w:szCs w:val="24"/>
                    </w:rPr>
                    <w:t>ar profesionālajā</w:t>
                  </w:r>
                  <w:r w:rsidR="00057CB1" w:rsidRPr="00D479F7">
                    <w:rPr>
                      <w:rFonts w:cs="Times New Roman"/>
                      <w:sz w:val="24"/>
                      <w:szCs w:val="24"/>
                    </w:rPr>
                    <w:t xml:space="preserve"> dienestā nodienēto </w:t>
                  </w:r>
                  <w:r w:rsidR="00057CB1" w:rsidRPr="00534300">
                    <w:rPr>
                      <w:rFonts w:cs="Times New Roman"/>
                      <w:sz w:val="24"/>
                      <w:szCs w:val="24"/>
                    </w:rPr>
                    <w:t>laiku</w:t>
                  </w:r>
                  <w:proofErr w:type="gramStart"/>
                  <w:r w:rsidR="00534300">
                    <w:rPr>
                      <w:rFonts w:cs="Times New Roman"/>
                      <w:sz w:val="24"/>
                      <w:szCs w:val="24"/>
                    </w:rPr>
                    <w:t xml:space="preserve"> </w:t>
                  </w:r>
                  <w:r w:rsidR="00F21E33" w:rsidRPr="00534300">
                    <w:rPr>
                      <w:rFonts w:cs="Times New Roman"/>
                      <w:sz w:val="24"/>
                      <w:szCs w:val="24"/>
                    </w:rPr>
                    <w:t>t.i.</w:t>
                  </w:r>
                  <w:proofErr w:type="gramEnd"/>
                  <w:r w:rsidR="00F21E33" w:rsidRPr="00534300">
                    <w:rPr>
                      <w:rFonts w:cs="Times New Roman"/>
                      <w:sz w:val="24"/>
                      <w:szCs w:val="24"/>
                    </w:rPr>
                    <w:t>,</w:t>
                  </w:r>
                  <w:r w:rsidR="00F21E33" w:rsidRPr="00E352CC">
                    <w:rPr>
                      <w:rFonts w:cs="Times New Roman"/>
                      <w:sz w:val="24"/>
                      <w:szCs w:val="24"/>
                    </w:rPr>
                    <w:t xml:space="preserve"> jo ilgāk karavīrs pilda profesionālo</w:t>
                  </w:r>
                  <w:r w:rsidR="00057CB1" w:rsidRPr="00E352CC">
                    <w:rPr>
                      <w:rFonts w:cs="Times New Roman"/>
                      <w:sz w:val="24"/>
                      <w:szCs w:val="24"/>
                    </w:rPr>
                    <w:t xml:space="preserve"> dienestu, jo lielākas sociālās garantijas viņam pienākas. Tas ir viens no būtiskiem</w:t>
                  </w:r>
                  <w:r w:rsidR="00B646C8" w:rsidRPr="00E352CC">
                    <w:rPr>
                      <w:rFonts w:cs="Times New Roman"/>
                      <w:sz w:val="24"/>
                      <w:szCs w:val="24"/>
                    </w:rPr>
                    <w:t>,</w:t>
                  </w:r>
                  <w:r w:rsidR="00057CB1" w:rsidRPr="00E352CC">
                    <w:rPr>
                      <w:rFonts w:cs="Times New Roman"/>
                      <w:sz w:val="24"/>
                      <w:szCs w:val="24"/>
                    </w:rPr>
                    <w:t xml:space="preserve"> motivējošiem faktor</w:t>
                  </w:r>
                  <w:r w:rsidR="00F21E33" w:rsidRPr="00E352CC">
                    <w:rPr>
                      <w:rFonts w:cs="Times New Roman"/>
                      <w:sz w:val="24"/>
                      <w:szCs w:val="24"/>
                    </w:rPr>
                    <w:t>iem karavīriem turpināt profesionālo</w:t>
                  </w:r>
                  <w:r w:rsidR="00057CB1" w:rsidRPr="00E352CC">
                    <w:rPr>
                      <w:rFonts w:cs="Times New Roman"/>
                      <w:sz w:val="24"/>
                      <w:szCs w:val="24"/>
                    </w:rPr>
                    <w:t xml:space="preserve"> dienestu maksimāli ilgi. </w:t>
                  </w:r>
                  <w:r w:rsidR="00653A68" w:rsidRPr="00E352CC">
                    <w:rPr>
                      <w:rFonts w:cs="Times New Roman"/>
                      <w:sz w:val="24"/>
                      <w:szCs w:val="24"/>
                    </w:rPr>
                    <w:t xml:space="preserve">Pašlaik atvaļinātajiem karavīriem ir noteikti divi izdienas pensijas </w:t>
                  </w:r>
                  <w:r w:rsidR="00532362" w:rsidRPr="00E352CC">
                    <w:rPr>
                      <w:rFonts w:cs="Times New Roman"/>
                      <w:sz w:val="24"/>
                      <w:szCs w:val="24"/>
                    </w:rPr>
                    <w:t xml:space="preserve">bāzes </w:t>
                  </w:r>
                  <w:r w:rsidR="00653A68" w:rsidRPr="00E352CC">
                    <w:rPr>
                      <w:rFonts w:cs="Times New Roman"/>
                      <w:sz w:val="24"/>
                      <w:szCs w:val="24"/>
                    </w:rPr>
                    <w:t>apmēri</w:t>
                  </w:r>
                  <w:r w:rsidR="00E66CCB" w:rsidRPr="00E352CC">
                    <w:rPr>
                      <w:rFonts w:cs="Times New Roman"/>
                      <w:sz w:val="24"/>
                      <w:szCs w:val="24"/>
                    </w:rPr>
                    <w:t>:</w:t>
                  </w:r>
                  <w:r w:rsidR="00653A68" w:rsidRPr="00E352CC">
                    <w:rPr>
                      <w:rFonts w:cs="Times New Roman"/>
                      <w:sz w:val="24"/>
                      <w:szCs w:val="24"/>
                    </w:rPr>
                    <w:t xml:space="preserve"> procentos </w:t>
                  </w:r>
                  <w:r w:rsidR="00A51AA8" w:rsidRPr="00E352CC">
                    <w:rPr>
                      <w:rFonts w:cs="Times New Roman"/>
                      <w:sz w:val="24"/>
                      <w:szCs w:val="24"/>
                    </w:rPr>
                    <w:t xml:space="preserve">– </w:t>
                  </w:r>
                  <w:r w:rsidR="00532362" w:rsidRPr="00E352CC">
                    <w:rPr>
                      <w:rFonts w:cs="Times New Roman"/>
                      <w:sz w:val="24"/>
                      <w:szCs w:val="24"/>
                    </w:rPr>
                    <w:t>40% un 55% no dienesta atalgojuma vidējā apmēra par pēdējiem pieciem gadiem</w:t>
                  </w:r>
                  <w:r w:rsidR="00A51AA8" w:rsidRPr="00E352CC">
                    <w:rPr>
                      <w:rFonts w:cs="Times New Roman"/>
                      <w:sz w:val="24"/>
                      <w:szCs w:val="24"/>
                    </w:rPr>
                    <w:t>, no kuriem</w:t>
                  </w:r>
                  <w:r w:rsidR="00532362" w:rsidRPr="00E352CC">
                    <w:rPr>
                      <w:rFonts w:cs="Times New Roman"/>
                      <w:sz w:val="24"/>
                      <w:szCs w:val="24"/>
                    </w:rPr>
                    <w:t xml:space="preserve"> tiek </w:t>
                  </w:r>
                  <w:r w:rsidR="00E66CCB" w:rsidRPr="00E352CC">
                    <w:rPr>
                      <w:rFonts w:cs="Times New Roman"/>
                      <w:sz w:val="24"/>
                      <w:szCs w:val="24"/>
                    </w:rPr>
                    <w:t>ap</w:t>
                  </w:r>
                  <w:r w:rsidR="00532362" w:rsidRPr="00E352CC">
                    <w:rPr>
                      <w:rFonts w:cs="Times New Roman"/>
                      <w:sz w:val="24"/>
                      <w:szCs w:val="24"/>
                    </w:rPr>
                    <w:t>rēķināta izdienas pensija. Procentu bāzes apmērs ir atkarīgs n</w:t>
                  </w:r>
                  <w:r w:rsidR="00F21E33" w:rsidRPr="00E352CC">
                    <w:rPr>
                      <w:rFonts w:cs="Times New Roman"/>
                      <w:sz w:val="24"/>
                      <w:szCs w:val="24"/>
                    </w:rPr>
                    <w:t>o karavīra atvaļināšanas pamata</w:t>
                  </w:r>
                  <w:r w:rsidR="00532362" w:rsidRPr="00E352CC">
                    <w:rPr>
                      <w:rFonts w:cs="Times New Roman"/>
                      <w:sz w:val="24"/>
                      <w:szCs w:val="24"/>
                    </w:rPr>
                    <w:t xml:space="preserve">. Ja karavīrs tiek atvaļināts maksimālā vecuma </w:t>
                  </w:r>
                  <w:r w:rsidR="00A51AA8" w:rsidRPr="00E352CC">
                    <w:rPr>
                      <w:rFonts w:cs="Times New Roman"/>
                      <w:sz w:val="24"/>
                      <w:szCs w:val="24"/>
                    </w:rPr>
                    <w:t xml:space="preserve">vai </w:t>
                  </w:r>
                  <w:r w:rsidR="00532362" w:rsidRPr="00E352CC">
                    <w:rPr>
                      <w:rFonts w:cs="Times New Roman"/>
                      <w:sz w:val="24"/>
                      <w:szCs w:val="24"/>
                    </w:rPr>
                    <w:t xml:space="preserve">slimības dēļ, vai sakarā ar vienības likvidāciju vai reorganizāciju, tad izdienas pensiju sāk rēķināt no 55%, pārējos gadījumos </w:t>
                  </w:r>
                  <w:r w:rsidR="00A51AA8" w:rsidRPr="00E352CC">
                    <w:rPr>
                      <w:rFonts w:cs="Times New Roman"/>
                      <w:sz w:val="24"/>
                      <w:szCs w:val="24"/>
                    </w:rPr>
                    <w:t xml:space="preserve">– </w:t>
                  </w:r>
                  <w:r w:rsidR="00532362" w:rsidRPr="00E352CC">
                    <w:rPr>
                      <w:rFonts w:cs="Times New Roman"/>
                      <w:sz w:val="24"/>
                      <w:szCs w:val="24"/>
                    </w:rPr>
                    <w:t xml:space="preserve">no 40 % </w:t>
                  </w:r>
                  <w:r w:rsidR="00D14858" w:rsidRPr="00E352CC">
                    <w:rPr>
                      <w:rFonts w:cs="Times New Roman"/>
                      <w:sz w:val="24"/>
                      <w:szCs w:val="24"/>
                    </w:rPr>
                    <w:t>bāzes apmēra</w:t>
                  </w:r>
                  <w:r w:rsidR="00A51AA8" w:rsidRPr="00E352CC">
                    <w:rPr>
                      <w:rFonts w:cs="Times New Roman"/>
                      <w:sz w:val="24"/>
                      <w:szCs w:val="24"/>
                    </w:rPr>
                    <w:t>.</w:t>
                  </w:r>
                  <w:r w:rsidR="00D14858" w:rsidRPr="00E352CC">
                    <w:rPr>
                      <w:rFonts w:cs="Times New Roman"/>
                      <w:sz w:val="24"/>
                      <w:szCs w:val="24"/>
                    </w:rPr>
                    <w:t xml:space="preserve"> </w:t>
                  </w:r>
                  <w:r w:rsidR="00A640DC" w:rsidRPr="00E352CC">
                    <w:rPr>
                      <w:rFonts w:cs="Times New Roman"/>
                      <w:sz w:val="24"/>
                      <w:szCs w:val="24"/>
                    </w:rPr>
                    <w:t>S</w:t>
                  </w:r>
                  <w:r w:rsidR="00F21E33" w:rsidRPr="00E352CC">
                    <w:rPr>
                      <w:rFonts w:cs="Times New Roman"/>
                      <w:sz w:val="24"/>
                      <w:szCs w:val="24"/>
                    </w:rPr>
                    <w:t>askaņā ar Militārā dienesta likuma 41.</w:t>
                  </w:r>
                  <w:r w:rsidR="00043894" w:rsidRPr="00E352CC">
                    <w:rPr>
                      <w:rFonts w:cs="Times New Roman"/>
                      <w:sz w:val="24"/>
                      <w:szCs w:val="24"/>
                    </w:rPr>
                    <w:t> </w:t>
                  </w:r>
                  <w:r w:rsidR="00F21E33" w:rsidRPr="00E352CC">
                    <w:rPr>
                      <w:rFonts w:cs="Times New Roman"/>
                      <w:sz w:val="24"/>
                      <w:szCs w:val="24"/>
                    </w:rPr>
                    <w:t xml:space="preserve">pantu karavīra maksimālais vecums katrā pakāpē </w:t>
                  </w:r>
                  <w:r w:rsidR="00057CB1" w:rsidRPr="00E352CC">
                    <w:rPr>
                      <w:rFonts w:cs="Times New Roman"/>
                      <w:sz w:val="24"/>
                      <w:szCs w:val="24"/>
                    </w:rPr>
                    <w:t>ir noteikt</w:t>
                  </w:r>
                  <w:r w:rsidR="00A51AA8" w:rsidRPr="00E352CC">
                    <w:rPr>
                      <w:rFonts w:cs="Times New Roman"/>
                      <w:sz w:val="24"/>
                      <w:szCs w:val="24"/>
                    </w:rPr>
                    <w:t>s</w:t>
                  </w:r>
                  <w:r w:rsidR="00F21E33" w:rsidRPr="00E352CC">
                    <w:rPr>
                      <w:rFonts w:cs="Times New Roman"/>
                      <w:sz w:val="24"/>
                      <w:szCs w:val="24"/>
                    </w:rPr>
                    <w:t xml:space="preserve"> </w:t>
                  </w:r>
                  <w:proofErr w:type="gramStart"/>
                  <w:r w:rsidR="00F21E33" w:rsidRPr="00E352CC">
                    <w:rPr>
                      <w:rFonts w:cs="Times New Roman"/>
                      <w:sz w:val="24"/>
                      <w:szCs w:val="24"/>
                    </w:rPr>
                    <w:t>atšķirīgs</w:t>
                  </w:r>
                  <w:r w:rsidR="00A640DC" w:rsidRPr="00E352CC">
                    <w:rPr>
                      <w:rFonts w:cs="Times New Roman"/>
                      <w:sz w:val="24"/>
                      <w:szCs w:val="24"/>
                    </w:rPr>
                    <w:t xml:space="preserve"> un bieži</w:t>
                  </w:r>
                  <w:proofErr w:type="gramEnd"/>
                  <w:r w:rsidR="00A640DC" w:rsidRPr="00E352CC">
                    <w:rPr>
                      <w:rFonts w:cs="Times New Roman"/>
                      <w:sz w:val="24"/>
                      <w:szCs w:val="24"/>
                    </w:rPr>
                    <w:t xml:space="preserve"> vien</w:t>
                  </w:r>
                  <w:r w:rsidR="00057CB1" w:rsidRPr="00E352CC">
                    <w:rPr>
                      <w:rFonts w:cs="Times New Roman"/>
                      <w:sz w:val="24"/>
                      <w:szCs w:val="24"/>
                    </w:rPr>
                    <w:t xml:space="preserve"> </w:t>
                  </w:r>
                  <w:r w:rsidR="00A640DC" w:rsidRPr="00E352CC">
                    <w:rPr>
                      <w:rFonts w:cs="Times New Roman"/>
                      <w:sz w:val="24"/>
                      <w:szCs w:val="24"/>
                    </w:rPr>
                    <w:t>virsnieki, kas ieguvuši</w:t>
                  </w:r>
                  <w:r w:rsidR="00057CB1" w:rsidRPr="00E352CC">
                    <w:rPr>
                      <w:rFonts w:cs="Times New Roman"/>
                      <w:sz w:val="24"/>
                      <w:szCs w:val="24"/>
                    </w:rPr>
                    <w:t xml:space="preserve"> augstāk</w:t>
                  </w:r>
                  <w:r w:rsidR="00A640DC" w:rsidRPr="00E352CC">
                    <w:rPr>
                      <w:rFonts w:cs="Times New Roman"/>
                      <w:sz w:val="24"/>
                      <w:szCs w:val="24"/>
                    </w:rPr>
                    <w:t>u pakāpi</w:t>
                  </w:r>
                  <w:r w:rsidR="00297811" w:rsidRPr="00E352CC">
                    <w:rPr>
                      <w:rFonts w:cs="Times New Roman"/>
                      <w:sz w:val="24"/>
                      <w:szCs w:val="24"/>
                    </w:rPr>
                    <w:t>,</w:t>
                  </w:r>
                  <w:r w:rsidR="00057CB1" w:rsidRPr="00E352CC">
                    <w:rPr>
                      <w:rFonts w:cs="Times New Roman"/>
                      <w:sz w:val="24"/>
                      <w:szCs w:val="24"/>
                    </w:rPr>
                    <w:t xml:space="preserve"> </w:t>
                  </w:r>
                  <w:r w:rsidR="00FB403E" w:rsidRPr="00E352CC">
                    <w:rPr>
                      <w:rFonts w:cs="Times New Roman"/>
                      <w:sz w:val="24"/>
                      <w:szCs w:val="24"/>
                    </w:rPr>
                    <w:t>nevar</w:t>
                  </w:r>
                  <w:r w:rsidR="00A51AA8" w:rsidRPr="00E352CC">
                    <w:rPr>
                      <w:rFonts w:cs="Times New Roman"/>
                      <w:sz w:val="24"/>
                      <w:szCs w:val="24"/>
                    </w:rPr>
                    <w:t xml:space="preserve"> </w:t>
                  </w:r>
                  <w:r w:rsidR="00057CB1" w:rsidRPr="00E352CC">
                    <w:rPr>
                      <w:rFonts w:cs="Times New Roman"/>
                      <w:sz w:val="24"/>
                      <w:szCs w:val="24"/>
                    </w:rPr>
                    <w:t>nodienēt līdz maksimālajam vecuma</w:t>
                  </w:r>
                  <w:r w:rsidR="00A51AA8" w:rsidRPr="00E352CC">
                    <w:rPr>
                      <w:rFonts w:cs="Times New Roman"/>
                      <w:sz w:val="24"/>
                      <w:szCs w:val="24"/>
                    </w:rPr>
                    <w:t>m,</w:t>
                  </w:r>
                  <w:r w:rsidR="00057CB1" w:rsidRPr="00E352CC">
                    <w:rPr>
                      <w:rFonts w:cs="Times New Roman"/>
                      <w:sz w:val="24"/>
                      <w:szCs w:val="24"/>
                    </w:rPr>
                    <w:t xml:space="preserve"> </w:t>
                  </w:r>
                  <w:r w:rsidR="00AC1FE9">
                    <w:rPr>
                      <w:rFonts w:cs="Times New Roman"/>
                      <w:sz w:val="24"/>
                      <w:szCs w:val="24"/>
                    </w:rPr>
                    <w:t xml:space="preserve">jo amatu skaits bruņotajos spēkos ir ierobežots, </w:t>
                  </w:r>
                  <w:r w:rsidR="00057CB1" w:rsidRPr="00E352CC">
                    <w:rPr>
                      <w:rFonts w:cs="Times New Roman"/>
                      <w:sz w:val="24"/>
                      <w:szCs w:val="24"/>
                    </w:rPr>
                    <w:t>līdz ar to arī izdienas pensijas aprēķināšana šiem karavīriem sāk</w:t>
                  </w:r>
                  <w:r w:rsidR="00A51AA8" w:rsidRPr="00E352CC">
                    <w:rPr>
                      <w:rFonts w:cs="Times New Roman"/>
                      <w:sz w:val="24"/>
                      <w:szCs w:val="24"/>
                    </w:rPr>
                    <w:t>a</w:t>
                  </w:r>
                  <w:r w:rsidR="00057CB1" w:rsidRPr="00E352CC">
                    <w:rPr>
                      <w:rFonts w:cs="Times New Roman"/>
                      <w:sz w:val="24"/>
                      <w:szCs w:val="24"/>
                    </w:rPr>
                    <w:t xml:space="preserve">s ar bāzes procentu </w:t>
                  </w:r>
                  <w:r w:rsidR="00AC1FE9">
                    <w:rPr>
                      <w:rFonts w:cs="Times New Roman"/>
                      <w:sz w:val="24"/>
                      <w:szCs w:val="24"/>
                    </w:rPr>
                    <w:t>apmēru -</w:t>
                  </w:r>
                  <w:r w:rsidR="00057CB1" w:rsidRPr="00E352CC">
                    <w:rPr>
                      <w:rFonts w:cs="Times New Roman"/>
                      <w:sz w:val="24"/>
                      <w:szCs w:val="24"/>
                    </w:rPr>
                    <w:t xml:space="preserve"> 40%. </w:t>
                  </w:r>
                  <w:r w:rsidR="00FB403E" w:rsidRPr="00E352CC">
                    <w:rPr>
                      <w:rFonts w:cs="Times New Roman"/>
                      <w:sz w:val="24"/>
                      <w:szCs w:val="24"/>
                    </w:rPr>
                    <w:t>Tā v</w:t>
                  </w:r>
                  <w:r w:rsidR="00057CB1" w:rsidRPr="00E352CC">
                    <w:rPr>
                      <w:rFonts w:cs="Times New Roman"/>
                      <w:sz w:val="24"/>
                      <w:szCs w:val="24"/>
                    </w:rPr>
                    <w:t>eido</w:t>
                  </w:r>
                  <w:r w:rsidR="00A51AA8" w:rsidRPr="00E352CC">
                    <w:rPr>
                      <w:rFonts w:cs="Times New Roman"/>
                      <w:sz w:val="24"/>
                      <w:szCs w:val="24"/>
                    </w:rPr>
                    <w:t>ja</w:t>
                  </w:r>
                  <w:r w:rsidR="00057CB1" w:rsidRPr="00E352CC">
                    <w:rPr>
                      <w:rFonts w:cs="Times New Roman"/>
                      <w:sz w:val="24"/>
                      <w:szCs w:val="24"/>
                    </w:rPr>
                    <w:t>s sociāli nevienlīdzīga situācija, kad divi karavīri ar vienād</w:t>
                  </w:r>
                  <w:r w:rsidR="00EE66D2">
                    <w:rPr>
                      <w:rFonts w:cs="Times New Roman"/>
                      <w:sz w:val="24"/>
                      <w:szCs w:val="24"/>
                    </w:rPr>
                    <w:t>u profesionālajā dien</w:t>
                  </w:r>
                  <w:r w:rsidR="00726155">
                    <w:rPr>
                      <w:rFonts w:cs="Times New Roman"/>
                      <w:sz w:val="24"/>
                      <w:szCs w:val="24"/>
                    </w:rPr>
                    <w:t>es</w:t>
                  </w:r>
                  <w:r w:rsidR="00EE66D2">
                    <w:rPr>
                      <w:rFonts w:cs="Times New Roman"/>
                      <w:sz w:val="24"/>
                      <w:szCs w:val="24"/>
                    </w:rPr>
                    <w:t xml:space="preserve">tā nodienēto </w:t>
                  </w:r>
                  <w:r w:rsidR="009E15F6" w:rsidRPr="00E352CC">
                    <w:rPr>
                      <w:rFonts w:cs="Times New Roman"/>
                      <w:sz w:val="24"/>
                      <w:szCs w:val="24"/>
                    </w:rPr>
                    <w:t>laiku</w:t>
                  </w:r>
                  <w:r w:rsidR="00B646C8" w:rsidRPr="00E352CC">
                    <w:rPr>
                      <w:rFonts w:cs="Times New Roman"/>
                      <w:sz w:val="24"/>
                      <w:szCs w:val="24"/>
                    </w:rPr>
                    <w:t xml:space="preserve"> </w:t>
                  </w:r>
                  <w:r w:rsidR="00057CB1" w:rsidRPr="00E352CC">
                    <w:rPr>
                      <w:rFonts w:cs="Times New Roman"/>
                      <w:sz w:val="24"/>
                      <w:szCs w:val="24"/>
                    </w:rPr>
                    <w:t>un vienād</w:t>
                  </w:r>
                  <w:r w:rsidR="009E15F6" w:rsidRPr="00E352CC">
                    <w:rPr>
                      <w:rFonts w:cs="Times New Roman"/>
                      <w:sz w:val="24"/>
                      <w:szCs w:val="24"/>
                    </w:rPr>
                    <w:t>u</w:t>
                  </w:r>
                  <w:r w:rsidR="00057CB1" w:rsidRPr="00E352CC">
                    <w:rPr>
                      <w:rFonts w:cs="Times New Roman"/>
                      <w:sz w:val="24"/>
                      <w:szCs w:val="24"/>
                    </w:rPr>
                    <w:t xml:space="preserve"> izdienas stāž</w:t>
                  </w:r>
                  <w:r w:rsidR="009E15F6" w:rsidRPr="00E352CC">
                    <w:rPr>
                      <w:rFonts w:cs="Times New Roman"/>
                      <w:sz w:val="24"/>
                      <w:szCs w:val="24"/>
                    </w:rPr>
                    <w:t>u</w:t>
                  </w:r>
                  <w:r w:rsidR="00057CB1" w:rsidRPr="00E352CC">
                    <w:rPr>
                      <w:rFonts w:cs="Times New Roman"/>
                      <w:sz w:val="24"/>
                      <w:szCs w:val="24"/>
                    </w:rPr>
                    <w:t xml:space="preserve"> saņ</w:t>
                  </w:r>
                  <w:r w:rsidR="00532362" w:rsidRPr="00E352CC">
                    <w:rPr>
                      <w:rFonts w:cs="Times New Roman"/>
                      <w:sz w:val="24"/>
                      <w:szCs w:val="24"/>
                    </w:rPr>
                    <w:t>em izdienas pensij</w:t>
                  </w:r>
                  <w:r w:rsidR="009E15F6" w:rsidRPr="00E352CC">
                    <w:rPr>
                      <w:rFonts w:cs="Times New Roman"/>
                      <w:sz w:val="24"/>
                      <w:szCs w:val="24"/>
                    </w:rPr>
                    <w:t>u</w:t>
                  </w:r>
                  <w:r w:rsidR="00D06D4A">
                    <w:rPr>
                      <w:rFonts w:cs="Times New Roman"/>
                      <w:sz w:val="24"/>
                      <w:szCs w:val="24"/>
                    </w:rPr>
                    <w:t xml:space="preserve">, kura </w:t>
                  </w:r>
                  <w:r w:rsidR="00532362" w:rsidRPr="00E352CC">
                    <w:rPr>
                      <w:rFonts w:cs="Times New Roman"/>
                      <w:sz w:val="24"/>
                      <w:szCs w:val="24"/>
                    </w:rPr>
                    <w:t>atšķ</w:t>
                  </w:r>
                  <w:r w:rsidR="00057CB1" w:rsidRPr="00E352CC">
                    <w:rPr>
                      <w:rFonts w:cs="Times New Roman"/>
                      <w:sz w:val="24"/>
                      <w:szCs w:val="24"/>
                    </w:rPr>
                    <w:t xml:space="preserve">iras par 15%. </w:t>
                  </w:r>
                  <w:r w:rsidR="00E863F7" w:rsidRPr="00FD7278">
                    <w:rPr>
                      <w:rFonts w:cs="Times New Roman"/>
                      <w:bCs/>
                      <w:sz w:val="24"/>
                      <w:szCs w:val="24"/>
                      <w:lang w:eastAsia="zh-TW" w:bidi="ar-SA"/>
                    </w:rPr>
                    <w:t xml:space="preserve">       </w:t>
                  </w:r>
                  <w:r w:rsidR="002204C3" w:rsidRPr="00FD7278">
                    <w:rPr>
                      <w:rFonts w:cs="Times New Roman"/>
                      <w:bCs/>
                      <w:sz w:val="24"/>
                      <w:szCs w:val="24"/>
                      <w:lang w:eastAsia="zh-TW" w:bidi="ar-SA"/>
                    </w:rPr>
                    <w:t>Tāpat</w:t>
                  </w:r>
                  <w:r w:rsidR="00E863F7" w:rsidRPr="00FD7278">
                    <w:rPr>
                      <w:rFonts w:cs="Times New Roman"/>
                      <w:bCs/>
                      <w:sz w:val="24"/>
                      <w:szCs w:val="24"/>
                      <w:lang w:eastAsia="zh-TW" w:bidi="ar-SA"/>
                    </w:rPr>
                    <w:t xml:space="preserve"> </w:t>
                  </w:r>
                  <w:r w:rsidR="002204C3" w:rsidRPr="00FD7278">
                    <w:rPr>
                      <w:rFonts w:cs="Times New Roman"/>
                      <w:bCs/>
                      <w:sz w:val="24"/>
                      <w:szCs w:val="24"/>
                      <w:lang w:eastAsia="zh-TW" w:bidi="ar-SA"/>
                    </w:rPr>
                    <w:t>p</w:t>
                  </w:r>
                  <w:r w:rsidR="00E863F7" w:rsidRPr="00FD7278">
                    <w:rPr>
                      <w:rFonts w:cs="Times New Roman"/>
                      <w:bCs/>
                      <w:sz w:val="24"/>
                      <w:szCs w:val="24"/>
                      <w:lang w:eastAsia="zh-TW" w:bidi="ar-SA"/>
                    </w:rPr>
                    <w:t xml:space="preserve">ašreizējais tiesiskais regulējums neparedz rezerves karavīram, kurš saņem militārpersonas izdienas pensiju, pēc atkārtotas iestāšanās profesionālā dienestā un atvaļināšanās no tā </w:t>
                  </w:r>
                  <w:r w:rsidR="002204C3" w:rsidRPr="00FD7278">
                    <w:rPr>
                      <w:rFonts w:cs="Times New Roman"/>
                      <w:bCs/>
                      <w:sz w:val="24"/>
                      <w:szCs w:val="24"/>
                      <w:lang w:eastAsia="zh-TW" w:bidi="ar-SA"/>
                    </w:rPr>
                    <w:t xml:space="preserve">palielināt </w:t>
                  </w:r>
                  <w:r w:rsidR="00E863F7" w:rsidRPr="00FD7278">
                    <w:rPr>
                      <w:rFonts w:cs="Times New Roman"/>
                      <w:bCs/>
                      <w:sz w:val="24"/>
                      <w:szCs w:val="24"/>
                      <w:lang w:eastAsia="zh-TW" w:bidi="ar-SA"/>
                    </w:rPr>
                    <w:t xml:space="preserve">izdienas </w:t>
                  </w:r>
                  <w:r w:rsidR="002204C3" w:rsidRPr="00FD7278">
                    <w:rPr>
                      <w:rFonts w:cs="Times New Roman"/>
                      <w:bCs/>
                      <w:sz w:val="24"/>
                      <w:szCs w:val="24"/>
                      <w:lang w:eastAsia="zh-TW" w:bidi="ar-SA"/>
                    </w:rPr>
                    <w:t>pensijas apmēru</w:t>
                  </w:r>
                  <w:r w:rsidR="00E863F7" w:rsidRPr="00FD7278">
                    <w:rPr>
                      <w:rFonts w:cs="Times New Roman"/>
                      <w:bCs/>
                      <w:sz w:val="24"/>
                      <w:szCs w:val="24"/>
                      <w:lang w:eastAsia="zh-TW" w:bidi="ar-SA"/>
                    </w:rPr>
                    <w:t xml:space="preserve"> atb</w:t>
                  </w:r>
                  <w:r w:rsidR="00D34491">
                    <w:rPr>
                      <w:rFonts w:cs="Times New Roman"/>
                      <w:bCs/>
                      <w:sz w:val="24"/>
                      <w:szCs w:val="24"/>
                      <w:lang w:eastAsia="zh-TW" w:bidi="ar-SA"/>
                    </w:rPr>
                    <w:t>ilstoši profesionālajā dienestā</w:t>
                  </w:r>
                  <w:r w:rsidR="002204C3" w:rsidRPr="00FD7278">
                    <w:rPr>
                      <w:rFonts w:cs="Times New Roman"/>
                      <w:bCs/>
                      <w:sz w:val="24"/>
                      <w:szCs w:val="24"/>
                      <w:lang w:eastAsia="zh-TW" w:bidi="ar-SA"/>
                    </w:rPr>
                    <w:t xml:space="preserve"> </w:t>
                  </w:r>
                  <w:r w:rsidR="00E863F7" w:rsidRPr="00FD7278">
                    <w:rPr>
                      <w:rFonts w:cs="Times New Roman"/>
                      <w:bCs/>
                      <w:sz w:val="24"/>
                      <w:szCs w:val="24"/>
                      <w:lang w:eastAsia="zh-TW" w:bidi="ar-SA"/>
                    </w:rPr>
                    <w:t>nodienētajam laikam.</w:t>
                  </w:r>
                  <w:r w:rsidR="002204C3" w:rsidRPr="00FD7278">
                    <w:rPr>
                      <w:rFonts w:cs="Times New Roman"/>
                      <w:bCs/>
                      <w:sz w:val="24"/>
                      <w:szCs w:val="24"/>
                      <w:lang w:eastAsia="zh-TW" w:bidi="ar-SA"/>
                    </w:rPr>
                    <w:t xml:space="preserve"> Tādēļ izdienas pensiju saņemošie rezerves karavīri nav pietie</w:t>
                  </w:r>
                  <w:r w:rsidR="00580131" w:rsidRPr="00FD7278">
                    <w:rPr>
                      <w:rFonts w:cs="Times New Roman"/>
                      <w:bCs/>
                      <w:sz w:val="24"/>
                      <w:szCs w:val="24"/>
                      <w:lang w:eastAsia="zh-TW" w:bidi="ar-SA"/>
                    </w:rPr>
                    <w:t>ka</w:t>
                  </w:r>
                  <w:r w:rsidR="002204C3" w:rsidRPr="00FD7278">
                    <w:rPr>
                      <w:rFonts w:cs="Times New Roman"/>
                      <w:bCs/>
                      <w:sz w:val="24"/>
                      <w:szCs w:val="24"/>
                      <w:lang w:eastAsia="zh-TW" w:bidi="ar-SA"/>
                    </w:rPr>
                    <w:t xml:space="preserve">mi motivēti atgriezties profesionālajā dienestā. </w:t>
                  </w:r>
                </w:p>
                <w:p w:rsidR="00E863F7" w:rsidRPr="00E352CC" w:rsidRDefault="00E863F7" w:rsidP="00B646C8">
                  <w:pPr>
                    <w:jc w:val="both"/>
                    <w:rPr>
                      <w:rFonts w:cs="Times New Roman"/>
                      <w:sz w:val="24"/>
                      <w:szCs w:val="24"/>
                    </w:rPr>
                  </w:pPr>
                  <w:r w:rsidRPr="00F31852">
                    <w:rPr>
                      <w:rFonts w:cs="Times New Roman"/>
                      <w:sz w:val="24"/>
                      <w:szCs w:val="24"/>
                    </w:rPr>
                    <w:t>Likumprojekta mē</w:t>
                  </w:r>
                  <w:r w:rsidR="00FD5FAD" w:rsidRPr="00F31852">
                    <w:rPr>
                      <w:rFonts w:cs="Times New Roman"/>
                      <w:sz w:val="24"/>
                      <w:szCs w:val="24"/>
                    </w:rPr>
                    <w:t>r</w:t>
                  </w:r>
                  <w:r w:rsidRPr="00E352CC">
                    <w:rPr>
                      <w:rFonts w:cs="Times New Roman"/>
                      <w:sz w:val="24"/>
                      <w:szCs w:val="24"/>
                    </w:rPr>
                    <w:t>ķi ir:</w:t>
                  </w:r>
                </w:p>
                <w:p w:rsidR="00F422C9" w:rsidRPr="0092177D" w:rsidRDefault="00E863F7" w:rsidP="00EE66D2">
                  <w:pPr>
                    <w:jc w:val="both"/>
                    <w:rPr>
                      <w:rFonts w:cs="Times New Roman"/>
                      <w:sz w:val="24"/>
                      <w:szCs w:val="24"/>
                      <w:lang w:eastAsia="lv-LV" w:bidi="ar-SA"/>
                    </w:rPr>
                  </w:pPr>
                  <w:r w:rsidRPr="00E352CC">
                    <w:rPr>
                      <w:rFonts w:cs="Times New Roman"/>
                      <w:sz w:val="24"/>
                      <w:szCs w:val="24"/>
                    </w:rPr>
                    <w:t xml:space="preserve">     1. Visiem </w:t>
                  </w:r>
                  <w:r w:rsidR="00057CB1" w:rsidRPr="00E352CC">
                    <w:rPr>
                      <w:rFonts w:cs="Times New Roman"/>
                      <w:sz w:val="24"/>
                      <w:szCs w:val="24"/>
                    </w:rPr>
                    <w:t>karavīri</w:t>
                  </w:r>
                  <w:r w:rsidR="009E15F6" w:rsidRPr="00E352CC">
                    <w:rPr>
                      <w:rFonts w:cs="Times New Roman"/>
                      <w:sz w:val="24"/>
                      <w:szCs w:val="24"/>
                    </w:rPr>
                    <w:t>em</w:t>
                  </w:r>
                  <w:r w:rsidR="00057CB1" w:rsidRPr="00E352CC">
                    <w:rPr>
                      <w:rFonts w:cs="Times New Roman"/>
                      <w:sz w:val="24"/>
                      <w:szCs w:val="24"/>
                    </w:rPr>
                    <w:t xml:space="preserve">, kuri profesionālajā militārajā dienestā ir nodienējuši ne mazāk kā 25 gadus un tiek atvaļināti </w:t>
                  </w:r>
                  <w:r w:rsidR="00F21E33" w:rsidRPr="00E352CC">
                    <w:rPr>
                      <w:rFonts w:cs="Times New Roman"/>
                      <w:sz w:val="24"/>
                      <w:szCs w:val="24"/>
                    </w:rPr>
                    <w:t xml:space="preserve">sakarā </w:t>
                  </w:r>
                  <w:r w:rsidR="00057CB1" w:rsidRPr="00E352CC">
                    <w:rPr>
                      <w:rFonts w:cs="Times New Roman"/>
                      <w:sz w:val="24"/>
                      <w:szCs w:val="24"/>
                    </w:rPr>
                    <w:t xml:space="preserve">ar līguma </w:t>
                  </w:r>
                  <w:r w:rsidR="00057CB1" w:rsidRPr="00E352CC">
                    <w:rPr>
                      <w:rFonts w:cs="Times New Roman"/>
                      <w:sz w:val="24"/>
                      <w:szCs w:val="24"/>
                    </w:rPr>
                    <w:lastRenderedPageBreak/>
                    <w:t>termiņa beigām</w:t>
                  </w:r>
                  <w:r w:rsidR="009E15F6" w:rsidRPr="00E352CC">
                    <w:rPr>
                      <w:rFonts w:cs="Times New Roman"/>
                      <w:sz w:val="24"/>
                      <w:szCs w:val="24"/>
                    </w:rPr>
                    <w:t>,</w:t>
                  </w:r>
                  <w:r w:rsidR="00B163E5" w:rsidRPr="00E352CC">
                    <w:rPr>
                      <w:rFonts w:cs="Times New Roman"/>
                      <w:sz w:val="24"/>
                      <w:szCs w:val="24"/>
                    </w:rPr>
                    <w:t xml:space="preserve"> </w:t>
                  </w:r>
                  <w:r w:rsidR="00532362" w:rsidRPr="00E352CC">
                    <w:rPr>
                      <w:rFonts w:cs="Times New Roman"/>
                      <w:sz w:val="24"/>
                      <w:szCs w:val="24"/>
                    </w:rPr>
                    <w:t xml:space="preserve">izdienas pensiju </w:t>
                  </w:r>
                  <w:r w:rsidR="00FB403E" w:rsidRPr="00E352CC">
                    <w:rPr>
                      <w:rFonts w:cs="Times New Roman"/>
                      <w:sz w:val="24"/>
                      <w:szCs w:val="24"/>
                    </w:rPr>
                    <w:t>sāk aprēķināt</w:t>
                  </w:r>
                  <w:r w:rsidR="00043894" w:rsidRPr="00E352CC">
                    <w:rPr>
                      <w:rFonts w:cs="Times New Roman"/>
                      <w:sz w:val="24"/>
                      <w:szCs w:val="24"/>
                    </w:rPr>
                    <w:t>, ievērojot</w:t>
                  </w:r>
                  <w:r w:rsidR="00FB403E" w:rsidRPr="00E352CC">
                    <w:rPr>
                      <w:rFonts w:cs="Times New Roman"/>
                      <w:sz w:val="24"/>
                      <w:szCs w:val="24"/>
                    </w:rPr>
                    <w:t xml:space="preserve"> 55% bāzes procentu </w:t>
                  </w:r>
                  <w:r w:rsidR="00D14858" w:rsidRPr="00E352CC">
                    <w:rPr>
                      <w:rFonts w:cs="Times New Roman"/>
                      <w:sz w:val="24"/>
                      <w:szCs w:val="24"/>
                    </w:rPr>
                    <w:t>apmēru</w:t>
                  </w:r>
                  <w:r w:rsidR="0092177D">
                    <w:rPr>
                      <w:rFonts w:cs="Times New Roman"/>
                      <w:sz w:val="24"/>
                      <w:szCs w:val="24"/>
                    </w:rPr>
                    <w:t xml:space="preserve"> </w:t>
                  </w:r>
                  <w:r w:rsidR="0092177D" w:rsidRPr="0043449C">
                    <w:rPr>
                      <w:rFonts w:cs="Times New Roman"/>
                      <w:sz w:val="24"/>
                      <w:szCs w:val="24"/>
                      <w:lang w:eastAsia="zh-TW" w:bidi="ar-SA"/>
                    </w:rPr>
                    <w:t>(skat. 1.</w:t>
                  </w:r>
                  <w:r w:rsidR="0092177D">
                    <w:rPr>
                      <w:rFonts w:cs="Times New Roman"/>
                      <w:sz w:val="24"/>
                      <w:szCs w:val="24"/>
                      <w:lang w:eastAsia="zh-TW" w:bidi="ar-SA"/>
                    </w:rPr>
                    <w:t> </w:t>
                  </w:r>
                  <w:r w:rsidR="0092177D" w:rsidRPr="0043449C">
                    <w:rPr>
                      <w:rFonts w:cs="Times New Roman"/>
                      <w:sz w:val="24"/>
                      <w:szCs w:val="24"/>
                      <w:lang w:eastAsia="zh-TW" w:bidi="ar-SA"/>
                    </w:rPr>
                    <w:t>piemēru</w:t>
                  </w:r>
                  <w:r w:rsidR="0092177D">
                    <w:rPr>
                      <w:rFonts w:cs="Times New Roman"/>
                      <w:sz w:val="24"/>
                      <w:szCs w:val="24"/>
                      <w:lang w:eastAsia="zh-TW" w:bidi="ar-SA"/>
                    </w:rPr>
                    <w:t xml:space="preserve"> anotācijas III sadaļas 6. punktā</w:t>
                  </w:r>
                  <w:r w:rsidR="0092177D" w:rsidRPr="0043449C">
                    <w:rPr>
                      <w:rFonts w:cs="Times New Roman"/>
                      <w:sz w:val="24"/>
                      <w:szCs w:val="24"/>
                      <w:lang w:eastAsia="zh-TW" w:bidi="ar-SA"/>
                    </w:rPr>
                    <w:t>)</w:t>
                  </w:r>
                  <w:r w:rsidR="00B163E5" w:rsidRPr="0092177D">
                    <w:rPr>
                      <w:rFonts w:cs="Times New Roman"/>
                      <w:sz w:val="24"/>
                      <w:szCs w:val="24"/>
                    </w:rPr>
                    <w:t>.</w:t>
                  </w:r>
                  <w:r w:rsidR="00057CB1" w:rsidRPr="0092177D">
                    <w:rPr>
                      <w:rFonts w:cs="Times New Roman"/>
                      <w:sz w:val="24"/>
                      <w:szCs w:val="24"/>
                      <w:lang w:eastAsia="zh-TW" w:bidi="ar-SA"/>
                    </w:rPr>
                    <w:t xml:space="preserve"> Tiek prognozēts, ka pirmie karavīri, kas varētu pr</w:t>
                  </w:r>
                  <w:r w:rsidR="00FB403E" w:rsidRPr="0092177D">
                    <w:rPr>
                      <w:rFonts w:cs="Times New Roman"/>
                      <w:sz w:val="24"/>
                      <w:szCs w:val="24"/>
                      <w:lang w:eastAsia="zh-TW" w:bidi="ar-SA"/>
                    </w:rPr>
                    <w:t xml:space="preserve">etendēt uz šādu izdienas pensiju </w:t>
                  </w:r>
                  <w:r w:rsidR="00122278" w:rsidRPr="0092177D">
                    <w:rPr>
                      <w:rFonts w:cs="Times New Roman"/>
                      <w:sz w:val="24"/>
                      <w:szCs w:val="24"/>
                      <w:lang w:eastAsia="zh-TW" w:bidi="ar-SA"/>
                    </w:rPr>
                    <w:t xml:space="preserve">pēc </w:t>
                  </w:r>
                  <w:r w:rsidR="00FB403E" w:rsidRPr="0092177D">
                    <w:rPr>
                      <w:rFonts w:cs="Times New Roman"/>
                      <w:sz w:val="24"/>
                      <w:szCs w:val="24"/>
                      <w:lang w:eastAsia="zh-TW" w:bidi="ar-SA"/>
                    </w:rPr>
                    <w:t>25 gadu</w:t>
                  </w:r>
                  <w:r w:rsidR="009D2C78" w:rsidRPr="0092177D">
                    <w:rPr>
                      <w:rFonts w:cs="Times New Roman"/>
                      <w:sz w:val="24"/>
                      <w:szCs w:val="24"/>
                      <w:lang w:eastAsia="zh-TW" w:bidi="ar-SA"/>
                    </w:rPr>
                    <w:t xml:space="preserve"> dienesta</w:t>
                  </w:r>
                  <w:r w:rsidR="00D14858" w:rsidRPr="0092177D">
                    <w:rPr>
                      <w:rFonts w:cs="Times New Roman"/>
                      <w:sz w:val="24"/>
                      <w:szCs w:val="24"/>
                      <w:lang w:eastAsia="zh-TW" w:bidi="ar-SA"/>
                    </w:rPr>
                    <w:t>,</w:t>
                  </w:r>
                  <w:r w:rsidR="00057CB1" w:rsidRPr="0092177D">
                    <w:rPr>
                      <w:rFonts w:cs="Times New Roman"/>
                      <w:sz w:val="24"/>
                      <w:szCs w:val="24"/>
                      <w:lang w:eastAsia="zh-TW" w:bidi="ar-SA"/>
                    </w:rPr>
                    <w:t xml:space="preserve"> var</w:t>
                  </w:r>
                  <w:r w:rsidR="009E15F6" w:rsidRPr="0092177D">
                    <w:rPr>
                      <w:rFonts w:cs="Times New Roman"/>
                      <w:sz w:val="24"/>
                      <w:szCs w:val="24"/>
                      <w:lang w:eastAsia="zh-TW" w:bidi="ar-SA"/>
                    </w:rPr>
                    <w:t>ētu</w:t>
                  </w:r>
                  <w:r w:rsidR="00057CB1" w:rsidRPr="0092177D">
                    <w:rPr>
                      <w:rFonts w:cs="Times New Roman"/>
                      <w:sz w:val="24"/>
                      <w:szCs w:val="24"/>
                      <w:lang w:eastAsia="zh-TW" w:bidi="ar-SA"/>
                    </w:rPr>
                    <w:t xml:space="preserve"> būt pēc </w:t>
                  </w:r>
                  <w:proofErr w:type="gramStart"/>
                  <w:r w:rsidR="00057CB1" w:rsidRPr="0092177D">
                    <w:rPr>
                      <w:rFonts w:cs="Times New Roman"/>
                      <w:sz w:val="24"/>
                      <w:szCs w:val="24"/>
                      <w:lang w:eastAsia="zh-TW" w:bidi="ar-SA"/>
                    </w:rPr>
                    <w:t>2016.</w:t>
                  </w:r>
                  <w:r w:rsidR="00D14858" w:rsidRPr="0092177D">
                    <w:rPr>
                      <w:rFonts w:cs="Times New Roman"/>
                      <w:sz w:val="24"/>
                      <w:szCs w:val="24"/>
                      <w:lang w:eastAsia="zh-TW" w:bidi="ar-SA"/>
                    </w:rPr>
                    <w:t>g</w:t>
                  </w:r>
                  <w:r w:rsidR="00057CB1" w:rsidRPr="0092177D">
                    <w:rPr>
                      <w:rFonts w:cs="Times New Roman"/>
                      <w:sz w:val="24"/>
                      <w:szCs w:val="24"/>
                      <w:lang w:eastAsia="zh-TW" w:bidi="ar-SA"/>
                    </w:rPr>
                    <w:t>ada</w:t>
                  </w:r>
                  <w:proofErr w:type="gramEnd"/>
                  <w:r w:rsidR="00D14858" w:rsidRPr="0092177D">
                    <w:rPr>
                      <w:rFonts w:cs="Times New Roman"/>
                      <w:sz w:val="24"/>
                      <w:szCs w:val="24"/>
                      <w:lang w:eastAsia="zh-TW" w:bidi="ar-SA"/>
                    </w:rPr>
                    <w:t>.</w:t>
                  </w:r>
                  <w:r w:rsidR="00057CB1" w:rsidRPr="0092177D">
                    <w:rPr>
                      <w:rFonts w:cs="Times New Roman"/>
                      <w:sz w:val="24"/>
                      <w:szCs w:val="24"/>
                      <w:lang w:eastAsia="zh-TW" w:bidi="ar-SA"/>
                    </w:rPr>
                    <w:t xml:space="preserve"> </w:t>
                  </w:r>
                  <w:r w:rsidRPr="0092177D">
                    <w:rPr>
                      <w:rFonts w:cs="Times New Roman"/>
                      <w:sz w:val="24"/>
                      <w:szCs w:val="24"/>
                      <w:lang w:eastAsia="zh-TW" w:bidi="ar-SA"/>
                    </w:rPr>
                    <w:t>Vidēji tuvākajos gados šādu karavīru skaits gadā nepārsniegtu 10</w:t>
                  </w:r>
                  <w:r w:rsidR="007F1275" w:rsidRPr="0092177D">
                    <w:rPr>
                      <w:rFonts w:cs="Times New Roman"/>
                      <w:sz w:val="24"/>
                      <w:szCs w:val="24"/>
                      <w:lang w:eastAsia="zh-TW" w:bidi="ar-SA"/>
                    </w:rPr>
                    <w:t>.</w:t>
                  </w:r>
                  <w:r w:rsidR="00560D08">
                    <w:rPr>
                      <w:rFonts w:cs="Times New Roman"/>
                      <w:sz w:val="24"/>
                      <w:szCs w:val="24"/>
                    </w:rPr>
                    <w:t xml:space="preserve"> </w:t>
                  </w:r>
                </w:p>
                <w:p w:rsidR="003B5731" w:rsidRPr="00E352CC" w:rsidRDefault="00C05D9C" w:rsidP="00A11D98">
                  <w:pPr>
                    <w:jc w:val="both"/>
                    <w:rPr>
                      <w:rFonts w:cs="Times New Roman"/>
                      <w:sz w:val="24"/>
                      <w:szCs w:val="24"/>
                    </w:rPr>
                  </w:pPr>
                  <w:r w:rsidRPr="00FD7278">
                    <w:rPr>
                      <w:rFonts w:cs="Times New Roman"/>
                      <w:bCs/>
                      <w:sz w:val="24"/>
                      <w:szCs w:val="24"/>
                      <w:lang w:eastAsia="zh-TW" w:bidi="ar-SA"/>
                    </w:rPr>
                    <w:t xml:space="preserve">      </w:t>
                  </w:r>
                  <w:r w:rsidR="00E863F7" w:rsidRPr="00F31852">
                    <w:rPr>
                      <w:rFonts w:cs="Times New Roman"/>
                      <w:sz w:val="24"/>
                      <w:szCs w:val="24"/>
                    </w:rPr>
                    <w:t>2.</w:t>
                  </w:r>
                  <w:r w:rsidR="00FD2989" w:rsidRPr="00F31852">
                    <w:rPr>
                      <w:rFonts w:cs="Times New Roman"/>
                      <w:sz w:val="24"/>
                      <w:szCs w:val="24"/>
                    </w:rPr>
                    <w:t xml:space="preserve"> </w:t>
                  </w:r>
                  <w:r w:rsidR="00E863F7" w:rsidRPr="00E352CC">
                    <w:rPr>
                      <w:rFonts w:cs="Times New Roman"/>
                      <w:sz w:val="24"/>
                      <w:szCs w:val="24"/>
                    </w:rPr>
                    <w:t>M</w:t>
                  </w:r>
                  <w:r w:rsidR="00FD2989" w:rsidRPr="00E352CC">
                    <w:rPr>
                      <w:rFonts w:cs="Times New Roman"/>
                      <w:sz w:val="24"/>
                      <w:szCs w:val="24"/>
                    </w:rPr>
                    <w:t>otivēt rezerves karavīrus atgriezties profesionālajā dienestā</w:t>
                  </w:r>
                  <w:r w:rsidR="00297811" w:rsidRPr="00E352CC">
                    <w:rPr>
                      <w:rFonts w:cs="Times New Roman"/>
                      <w:sz w:val="24"/>
                      <w:szCs w:val="24"/>
                    </w:rPr>
                    <w:t>,</w:t>
                  </w:r>
                  <w:r w:rsidR="00FD2989" w:rsidRPr="00E352CC">
                    <w:rPr>
                      <w:rFonts w:cs="Times New Roman"/>
                      <w:sz w:val="24"/>
                      <w:szCs w:val="24"/>
                    </w:rPr>
                    <w:t xml:space="preserve"> paredzot, ka </w:t>
                  </w:r>
                  <w:r w:rsidR="00516222" w:rsidRPr="00E352CC">
                    <w:rPr>
                      <w:rFonts w:cs="Times New Roman"/>
                      <w:sz w:val="24"/>
                      <w:szCs w:val="24"/>
                    </w:rPr>
                    <w:t>par katr</w:t>
                  </w:r>
                  <w:r w:rsidR="00A11D98" w:rsidRPr="00E352CC">
                    <w:rPr>
                      <w:rFonts w:cs="Times New Roman"/>
                      <w:sz w:val="24"/>
                      <w:szCs w:val="24"/>
                    </w:rPr>
                    <w:t>u</w:t>
                  </w:r>
                  <w:r w:rsidR="00726155">
                    <w:rPr>
                      <w:rFonts w:cs="Times New Roman"/>
                      <w:sz w:val="24"/>
                      <w:szCs w:val="24"/>
                    </w:rPr>
                    <w:t xml:space="preserve"> no jauna aprēķināto izdienas stāža</w:t>
                  </w:r>
                  <w:r w:rsidR="00516222" w:rsidRPr="00E352CC">
                    <w:rPr>
                      <w:rFonts w:cs="Times New Roman"/>
                      <w:sz w:val="24"/>
                      <w:szCs w:val="24"/>
                    </w:rPr>
                    <w:t xml:space="preserve"> gad</w:t>
                  </w:r>
                  <w:r w:rsidR="00922AC5" w:rsidRPr="00E352CC">
                    <w:rPr>
                      <w:rFonts w:cs="Times New Roman"/>
                      <w:sz w:val="24"/>
                      <w:szCs w:val="24"/>
                    </w:rPr>
                    <w:t>u piešķirtā</w:t>
                  </w:r>
                  <w:r w:rsidR="009E15F6" w:rsidRPr="00E352CC">
                    <w:rPr>
                      <w:rFonts w:cs="Times New Roman"/>
                      <w:sz w:val="24"/>
                      <w:szCs w:val="24"/>
                    </w:rPr>
                    <w:t>s</w:t>
                  </w:r>
                  <w:r w:rsidR="00516222" w:rsidRPr="00E352CC">
                    <w:rPr>
                      <w:rFonts w:cs="Times New Roman"/>
                      <w:sz w:val="24"/>
                      <w:szCs w:val="24"/>
                    </w:rPr>
                    <w:t xml:space="preserve"> izdienas pensija</w:t>
                  </w:r>
                  <w:r w:rsidR="00726155">
                    <w:rPr>
                      <w:rFonts w:cs="Times New Roman"/>
                      <w:sz w:val="24"/>
                      <w:szCs w:val="24"/>
                    </w:rPr>
                    <w:t xml:space="preserve"> tiks paaugstināta</w:t>
                  </w:r>
                  <w:r w:rsidR="00FD2989" w:rsidRPr="00E352CC">
                    <w:rPr>
                      <w:rFonts w:cs="Times New Roman"/>
                      <w:sz w:val="24"/>
                      <w:szCs w:val="24"/>
                    </w:rPr>
                    <w:t xml:space="preserve"> </w:t>
                  </w:r>
                  <w:r w:rsidR="00FD5FAD" w:rsidRPr="00E352CC">
                    <w:rPr>
                      <w:rFonts w:cs="Times New Roman"/>
                      <w:sz w:val="24"/>
                      <w:szCs w:val="24"/>
                    </w:rPr>
                    <w:t>pieskaitot</w:t>
                  </w:r>
                  <w:r w:rsidR="00803EF9" w:rsidRPr="00E352CC">
                    <w:rPr>
                      <w:rFonts w:cs="Times New Roman"/>
                      <w:sz w:val="24"/>
                      <w:szCs w:val="24"/>
                    </w:rPr>
                    <w:t xml:space="preserve"> pieš</w:t>
                  </w:r>
                  <w:r w:rsidR="00D14858" w:rsidRPr="00E352CC">
                    <w:rPr>
                      <w:rFonts w:cs="Times New Roman"/>
                      <w:sz w:val="24"/>
                      <w:szCs w:val="24"/>
                    </w:rPr>
                    <w:t>ķ</w:t>
                  </w:r>
                  <w:r w:rsidR="00803EF9" w:rsidRPr="00E352CC">
                    <w:rPr>
                      <w:rFonts w:cs="Times New Roman"/>
                      <w:sz w:val="24"/>
                      <w:szCs w:val="24"/>
                    </w:rPr>
                    <w:t>i</w:t>
                  </w:r>
                  <w:r w:rsidR="00D14858" w:rsidRPr="00E352CC">
                    <w:rPr>
                      <w:rFonts w:cs="Times New Roman"/>
                      <w:sz w:val="24"/>
                      <w:szCs w:val="24"/>
                    </w:rPr>
                    <w:t>r</w:t>
                  </w:r>
                  <w:r w:rsidR="00803EF9" w:rsidRPr="00E352CC">
                    <w:rPr>
                      <w:rFonts w:cs="Times New Roman"/>
                      <w:sz w:val="24"/>
                      <w:szCs w:val="24"/>
                    </w:rPr>
                    <w:t>tajai pensijai</w:t>
                  </w:r>
                  <w:r w:rsidR="00FD2989" w:rsidRPr="00E352CC">
                    <w:rPr>
                      <w:rFonts w:cs="Times New Roman"/>
                      <w:sz w:val="24"/>
                      <w:szCs w:val="24"/>
                    </w:rPr>
                    <w:t xml:space="preserve"> </w:t>
                  </w:r>
                  <w:r w:rsidR="00516222" w:rsidRPr="00E352CC">
                    <w:rPr>
                      <w:rFonts w:cs="Times New Roman"/>
                      <w:sz w:val="24"/>
                      <w:szCs w:val="24"/>
                    </w:rPr>
                    <w:t>2%</w:t>
                  </w:r>
                  <w:r w:rsidR="005D0770" w:rsidRPr="00E352CC">
                    <w:rPr>
                      <w:rFonts w:cs="Times New Roman"/>
                      <w:sz w:val="24"/>
                      <w:szCs w:val="24"/>
                    </w:rPr>
                    <w:t xml:space="preserve"> </w:t>
                  </w:r>
                  <w:r w:rsidR="00726155">
                    <w:rPr>
                      <w:rFonts w:cs="Times New Roman"/>
                      <w:sz w:val="24"/>
                      <w:szCs w:val="24"/>
                    </w:rPr>
                    <w:t>par katru pilnu izdienas stāža</w:t>
                  </w:r>
                  <w:r w:rsidR="007F1275" w:rsidRPr="00E352CC">
                    <w:rPr>
                      <w:rFonts w:cs="Times New Roman"/>
                      <w:sz w:val="24"/>
                      <w:szCs w:val="24"/>
                    </w:rPr>
                    <w:t xml:space="preserve"> gadu </w:t>
                  </w:r>
                  <w:r w:rsidR="00803EF9" w:rsidRPr="00E352CC">
                    <w:rPr>
                      <w:rFonts w:cs="Times New Roman"/>
                      <w:sz w:val="24"/>
                      <w:szCs w:val="24"/>
                    </w:rPr>
                    <w:t>no vidējā dienesta atalgojuma</w:t>
                  </w:r>
                  <w:r w:rsidR="00CA72C0">
                    <w:rPr>
                      <w:rFonts w:cs="Times New Roman"/>
                      <w:sz w:val="24"/>
                      <w:szCs w:val="24"/>
                    </w:rPr>
                    <w:t xml:space="preserve"> </w:t>
                  </w:r>
                  <w:r w:rsidR="007F1275" w:rsidRPr="00E352CC">
                    <w:rPr>
                      <w:rFonts w:cs="Times New Roman"/>
                      <w:sz w:val="24"/>
                      <w:szCs w:val="24"/>
                    </w:rPr>
                    <w:t>(skat. 2.</w:t>
                  </w:r>
                  <w:r w:rsidR="0092177D">
                    <w:rPr>
                      <w:rFonts w:cs="Times New Roman"/>
                      <w:sz w:val="24"/>
                      <w:szCs w:val="24"/>
                    </w:rPr>
                    <w:t> </w:t>
                  </w:r>
                  <w:r w:rsidR="007F1275" w:rsidRPr="0092177D">
                    <w:rPr>
                      <w:rFonts w:cs="Times New Roman"/>
                      <w:sz w:val="24"/>
                      <w:szCs w:val="24"/>
                    </w:rPr>
                    <w:t>piemēr</w:t>
                  </w:r>
                  <w:r w:rsidR="00580131" w:rsidRPr="0092177D">
                    <w:rPr>
                      <w:rFonts w:cs="Times New Roman"/>
                      <w:sz w:val="24"/>
                      <w:szCs w:val="24"/>
                    </w:rPr>
                    <w:t>u</w:t>
                  </w:r>
                  <w:r w:rsidR="0092177D">
                    <w:rPr>
                      <w:rFonts w:cs="Times New Roman"/>
                      <w:sz w:val="24"/>
                      <w:szCs w:val="24"/>
                      <w:lang w:eastAsia="zh-TW" w:bidi="ar-SA"/>
                    </w:rPr>
                    <w:t xml:space="preserve"> anotācijas III sadaļas 6. punktā</w:t>
                  </w:r>
                  <w:r w:rsidR="007F1275" w:rsidRPr="0092177D">
                    <w:rPr>
                      <w:rFonts w:cs="Times New Roman"/>
                      <w:sz w:val="24"/>
                      <w:szCs w:val="24"/>
                    </w:rPr>
                    <w:t>).</w:t>
                  </w:r>
                  <w:r w:rsidR="00726155">
                    <w:rPr>
                      <w:rFonts w:cs="Times New Roman"/>
                      <w:sz w:val="24"/>
                      <w:szCs w:val="24"/>
                    </w:rPr>
                    <w:t xml:space="preserve"> Šajā gadījumā izdienas stāžā ieskaita tikai PD nodienēto laiku ņ</w:t>
                  </w:r>
                  <w:r w:rsidR="00D34491">
                    <w:rPr>
                      <w:rFonts w:cs="Times New Roman"/>
                      <w:sz w:val="24"/>
                      <w:szCs w:val="24"/>
                    </w:rPr>
                    <w:t xml:space="preserve">emot vērā MIPL </w:t>
                  </w:r>
                  <w:proofErr w:type="gramStart"/>
                  <w:r w:rsidR="00D34491">
                    <w:rPr>
                      <w:rFonts w:cs="Times New Roman"/>
                      <w:sz w:val="24"/>
                      <w:szCs w:val="24"/>
                    </w:rPr>
                    <w:t>4.pantā</w:t>
                  </w:r>
                  <w:proofErr w:type="gramEnd"/>
                  <w:r w:rsidR="00D34491">
                    <w:rPr>
                      <w:rFonts w:cs="Times New Roman"/>
                      <w:sz w:val="24"/>
                      <w:szCs w:val="24"/>
                    </w:rPr>
                    <w:t xml:space="preserve"> noteikto.</w:t>
                  </w:r>
                  <w:r w:rsidR="00B94548">
                    <w:rPr>
                      <w:rFonts w:cs="Times New Roman"/>
                      <w:sz w:val="24"/>
                      <w:szCs w:val="24"/>
                    </w:rPr>
                    <w:t xml:space="preserve"> </w:t>
                  </w:r>
                  <w:r w:rsidR="00726155">
                    <w:rPr>
                      <w:rFonts w:cs="Times New Roman"/>
                      <w:sz w:val="24"/>
                      <w:szCs w:val="24"/>
                    </w:rPr>
                    <w:t xml:space="preserve"> </w:t>
                  </w:r>
                  <w:r w:rsidR="00B94548">
                    <w:rPr>
                      <w:rFonts w:cs="Times New Roman"/>
                      <w:sz w:val="24"/>
                      <w:szCs w:val="24"/>
                    </w:rPr>
                    <w:t>K</w:t>
                  </w:r>
                  <w:r w:rsidR="00234849" w:rsidRPr="00950BD5">
                    <w:rPr>
                      <w:rFonts w:cs="Times New Roman"/>
                      <w:sz w:val="24"/>
                      <w:szCs w:val="24"/>
                    </w:rPr>
                    <w:t xml:space="preserve">aravīriem, kuriem atkārtota dienesta laikā atvaļināšana tiek piemērota kā </w:t>
                  </w:r>
                  <w:r w:rsidR="00234849" w:rsidRPr="00FD7278">
                    <w:rPr>
                      <w:rFonts w:cs="Times New Roman"/>
                      <w:sz w:val="24"/>
                      <w:szCs w:val="24"/>
                    </w:rPr>
                    <w:t>disciplinārsods,</w:t>
                  </w:r>
                  <w:r w:rsidR="00580131" w:rsidRPr="00FD7278">
                    <w:rPr>
                      <w:rFonts w:cs="Times New Roman"/>
                      <w:sz w:val="24"/>
                      <w:szCs w:val="24"/>
                    </w:rPr>
                    <w:t xml:space="preserve"> kā arī karavīriem, kuri pēc atkārtotas iestāšanās profesionālajā dienestā ir atvaļināti sakarā ar to, ka ir sodīti par tīša noziedzīga nodarījuma izdarīšanu (neatkarīgi no sodāmības dzēšanas vai noņemšanas), ir izdarījuši tīšu noziedzīgu nodarījumu, bet no soda atbrīvoti, pret kur</w:t>
                  </w:r>
                  <w:r w:rsidR="00673F8C" w:rsidRPr="00FD7278">
                    <w:rPr>
                      <w:rFonts w:cs="Times New Roman"/>
                      <w:sz w:val="24"/>
                      <w:szCs w:val="24"/>
                    </w:rPr>
                    <w:t>iem</w:t>
                  </w:r>
                  <w:r w:rsidR="00580131" w:rsidRPr="00FD7278">
                    <w:rPr>
                      <w:rFonts w:cs="Times New Roman"/>
                      <w:sz w:val="24"/>
                      <w:szCs w:val="24"/>
                    </w:rPr>
                    <w:t xml:space="preserve"> uzsāktais kriminālprocess par tīša noziedzīga nodarījuma izdarīšanu izbeigts uz nereabilitējoša pamata, tiek </w:t>
                  </w:r>
                  <w:r w:rsidR="00B051CA" w:rsidRPr="00FD7278">
                    <w:rPr>
                      <w:rFonts w:cs="Times New Roman"/>
                      <w:sz w:val="24"/>
                      <w:szCs w:val="24"/>
                    </w:rPr>
                    <w:t>saglabātas</w:t>
                  </w:r>
                  <w:r w:rsidR="00580131" w:rsidRPr="00FD7278">
                    <w:rPr>
                      <w:rFonts w:cs="Times New Roman"/>
                      <w:sz w:val="24"/>
                      <w:szCs w:val="24"/>
                    </w:rPr>
                    <w:t xml:space="preserve"> tiesības saņemt </w:t>
                  </w:r>
                  <w:r w:rsidR="00B051CA" w:rsidRPr="00F31852">
                    <w:rPr>
                      <w:rFonts w:cs="Times New Roman"/>
                      <w:sz w:val="24"/>
                      <w:szCs w:val="24"/>
                    </w:rPr>
                    <w:t xml:space="preserve">iepriekš piešķirto </w:t>
                  </w:r>
                  <w:r w:rsidR="00580131" w:rsidRPr="00E352CC">
                    <w:rPr>
                      <w:rFonts w:cs="Times New Roman"/>
                      <w:sz w:val="24"/>
                      <w:szCs w:val="24"/>
                    </w:rPr>
                    <w:t>izdienas pensiju</w:t>
                  </w:r>
                  <w:r w:rsidR="00B051CA" w:rsidRPr="00E352CC">
                    <w:rPr>
                      <w:rFonts w:cs="Times New Roman"/>
                      <w:sz w:val="24"/>
                      <w:szCs w:val="24"/>
                    </w:rPr>
                    <w:t>,</w:t>
                  </w:r>
                  <w:r w:rsidR="00580131" w:rsidRPr="00E352CC">
                    <w:rPr>
                      <w:rFonts w:cs="Times New Roman"/>
                      <w:sz w:val="24"/>
                      <w:szCs w:val="24"/>
                    </w:rPr>
                    <w:t xml:space="preserve"> </w:t>
                  </w:r>
                  <w:r w:rsidR="00B051CA" w:rsidRPr="00E352CC">
                    <w:rPr>
                      <w:rFonts w:cs="Times New Roman"/>
                      <w:sz w:val="24"/>
                      <w:szCs w:val="24"/>
                    </w:rPr>
                    <w:t xml:space="preserve">taču netiek piešķirtas tiesības uz izdienas pensijas apmēra palielināšanu atbilstoši faktiski nodienētajam laikam. </w:t>
                  </w:r>
                </w:p>
                <w:p w:rsidR="00560D08" w:rsidRPr="00FD7278" w:rsidRDefault="003B5731" w:rsidP="00560D08">
                  <w:pPr>
                    <w:jc w:val="both"/>
                    <w:rPr>
                      <w:rFonts w:cs="Times New Roman"/>
                      <w:sz w:val="24"/>
                      <w:szCs w:val="24"/>
                    </w:rPr>
                  </w:pPr>
                  <w:r w:rsidRPr="00E352CC">
                    <w:rPr>
                      <w:rFonts w:cs="Times New Roman"/>
                      <w:b/>
                      <w:i/>
                      <w:sz w:val="24"/>
                      <w:szCs w:val="24"/>
                      <w:lang w:eastAsia="zh-TW" w:bidi="ar-SA"/>
                    </w:rPr>
                    <w:t xml:space="preserve">      </w:t>
                  </w:r>
                  <w:r w:rsidRPr="00FD7278">
                    <w:rPr>
                      <w:rFonts w:cs="Times New Roman"/>
                      <w:sz w:val="24"/>
                      <w:szCs w:val="24"/>
                    </w:rPr>
                    <w:t xml:space="preserve">          </w:t>
                  </w:r>
                </w:p>
                <w:p w:rsidR="00CA72C0" w:rsidRPr="00FD7278" w:rsidRDefault="00CA72C0" w:rsidP="00560D08">
                  <w:pPr>
                    <w:jc w:val="both"/>
                    <w:rPr>
                      <w:rFonts w:cs="Times New Roman"/>
                      <w:sz w:val="24"/>
                      <w:szCs w:val="24"/>
                    </w:rPr>
                  </w:pPr>
                </w:p>
              </w:tc>
            </w:tr>
            <w:tr w:rsidR="00FD7278" w:rsidRPr="00FD7278" w:rsidTr="00E352CC">
              <w:trPr>
                <w:trHeight w:val="465"/>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spacing w:before="100" w:beforeAutospacing="1" w:after="100" w:afterAutospacing="1" w:line="360" w:lineRule="auto"/>
                    <w:jc w:val="center"/>
                    <w:rPr>
                      <w:rFonts w:cs="Times New Roman"/>
                      <w:sz w:val="24"/>
                      <w:szCs w:val="24"/>
                      <w:lang w:eastAsia="lv-LV" w:bidi="ar-SA"/>
                    </w:rPr>
                  </w:pPr>
                </w:p>
              </w:tc>
              <w:tc>
                <w:tcPr>
                  <w:tcW w:w="1122" w:type="pct"/>
                  <w:tcBorders>
                    <w:top w:val="outset" w:sz="6" w:space="0" w:color="auto"/>
                    <w:left w:val="outset" w:sz="6" w:space="0" w:color="auto"/>
                    <w:bottom w:val="outset" w:sz="6" w:space="0" w:color="auto"/>
                    <w:right w:val="outset" w:sz="6" w:space="0" w:color="auto"/>
                  </w:tcBorders>
                  <w:hideMark/>
                </w:tcPr>
                <w:p w:rsidR="00FD1817" w:rsidRPr="0092177D" w:rsidRDefault="00FD1817" w:rsidP="00FD1817">
                  <w:pPr>
                    <w:rPr>
                      <w:rFonts w:cs="Times New Roman"/>
                      <w:sz w:val="24"/>
                      <w:szCs w:val="24"/>
                      <w:lang w:eastAsia="lv-LV" w:bidi="ar-SA"/>
                    </w:rPr>
                  </w:pPr>
                  <w:r w:rsidRPr="00FD7278">
                    <w:rPr>
                      <w:rFonts w:cs="Times New Roman"/>
                      <w:sz w:val="24"/>
                      <w:szCs w:val="24"/>
                      <w:lang w:eastAsia="lv-LV" w:bidi="ar-SA"/>
                    </w:rPr>
                    <w:t>Projekta izstrādē iesaistītās institūcijas</w:t>
                  </w:r>
                </w:p>
              </w:tc>
              <w:tc>
                <w:tcPr>
                  <w:tcW w:w="3638" w:type="pct"/>
                  <w:tcBorders>
                    <w:top w:val="outset" w:sz="6" w:space="0" w:color="auto"/>
                    <w:left w:val="outset" w:sz="6" w:space="0" w:color="auto"/>
                    <w:bottom w:val="outset" w:sz="6" w:space="0" w:color="auto"/>
                    <w:right w:val="outset" w:sz="6" w:space="0" w:color="auto"/>
                  </w:tcBorders>
                  <w:hideMark/>
                </w:tcPr>
                <w:p w:rsidR="00FD1817" w:rsidRPr="00FD7278" w:rsidRDefault="003C46FD" w:rsidP="00FD1817">
                  <w:pPr>
                    <w:rPr>
                      <w:rFonts w:cs="Times New Roman"/>
                      <w:sz w:val="24"/>
                      <w:szCs w:val="24"/>
                      <w:lang w:eastAsia="lv-LV" w:bidi="ar-SA"/>
                    </w:rPr>
                  </w:pPr>
                  <w:r w:rsidRPr="00FD7278">
                    <w:rPr>
                      <w:rFonts w:cs="Times New Roman"/>
                      <w:sz w:val="24"/>
                      <w:szCs w:val="24"/>
                    </w:rPr>
                    <w:t>Aizsardzības ministrija, Nacionālie bruņotie spēki.</w:t>
                  </w:r>
                </w:p>
              </w:tc>
            </w:tr>
            <w:tr w:rsidR="00FD7278" w:rsidRPr="00FD7278" w:rsidTr="00E352CC">
              <w:trPr>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FD1817" w:rsidRPr="00FD7278" w:rsidRDefault="00FD1817" w:rsidP="00E352CC">
                  <w:pPr>
                    <w:spacing w:before="100" w:beforeAutospacing="1" w:after="100" w:afterAutospacing="1" w:line="360" w:lineRule="auto"/>
                    <w:jc w:val="both"/>
                    <w:rPr>
                      <w:rFonts w:cs="Times New Roman"/>
                      <w:sz w:val="24"/>
                      <w:szCs w:val="24"/>
                      <w:lang w:eastAsia="lv-LV" w:bidi="ar-SA"/>
                    </w:rPr>
                  </w:pPr>
                  <w:r w:rsidRPr="00FD7278">
                    <w:rPr>
                      <w:rFonts w:cs="Times New Roman"/>
                      <w:sz w:val="24"/>
                      <w:szCs w:val="24"/>
                      <w:lang w:eastAsia="lv-LV" w:bidi="ar-SA"/>
                    </w:rPr>
                    <w:t>4.</w:t>
                  </w:r>
                </w:p>
              </w:tc>
              <w:tc>
                <w:tcPr>
                  <w:tcW w:w="1122" w:type="pct"/>
                  <w:tcBorders>
                    <w:top w:val="outset" w:sz="6" w:space="0" w:color="auto"/>
                    <w:left w:val="outset" w:sz="6" w:space="0" w:color="auto"/>
                    <w:bottom w:val="outset" w:sz="6" w:space="0" w:color="auto"/>
                    <w:right w:val="outset" w:sz="6" w:space="0" w:color="auto"/>
                  </w:tcBorders>
                  <w:hideMark/>
                </w:tcPr>
                <w:p w:rsidR="00FD1817" w:rsidRPr="00FD7278" w:rsidRDefault="00FD1817" w:rsidP="00E352CC">
                  <w:pPr>
                    <w:jc w:val="both"/>
                    <w:rPr>
                      <w:rFonts w:cs="Times New Roman"/>
                      <w:sz w:val="24"/>
                      <w:szCs w:val="24"/>
                      <w:lang w:eastAsia="lv-LV" w:bidi="ar-SA"/>
                    </w:rPr>
                  </w:pPr>
                  <w:r w:rsidRPr="00FD7278">
                    <w:rPr>
                      <w:rFonts w:cs="Times New Roman"/>
                      <w:sz w:val="24"/>
                      <w:szCs w:val="24"/>
                      <w:lang w:eastAsia="lv-LV" w:bidi="ar-SA"/>
                    </w:rPr>
                    <w:t>Cita informācija</w:t>
                  </w:r>
                </w:p>
              </w:tc>
              <w:tc>
                <w:tcPr>
                  <w:tcW w:w="3638" w:type="pct"/>
                  <w:tcBorders>
                    <w:top w:val="outset" w:sz="6" w:space="0" w:color="auto"/>
                    <w:left w:val="outset" w:sz="6" w:space="0" w:color="auto"/>
                    <w:bottom w:val="outset" w:sz="6" w:space="0" w:color="auto"/>
                    <w:right w:val="outset" w:sz="6" w:space="0" w:color="auto"/>
                  </w:tcBorders>
                </w:tcPr>
                <w:p w:rsidR="00FD1817" w:rsidRPr="00FD7278" w:rsidRDefault="00E352CC" w:rsidP="00E352CC">
                  <w:pPr>
                    <w:spacing w:before="100" w:beforeAutospacing="1" w:after="100" w:afterAutospacing="1"/>
                    <w:jc w:val="both"/>
                    <w:rPr>
                      <w:rFonts w:cs="Times New Roman"/>
                      <w:sz w:val="24"/>
                      <w:szCs w:val="24"/>
                      <w:lang w:eastAsia="lv-LV" w:bidi="ar-SA"/>
                    </w:rPr>
                  </w:pPr>
                  <w:r w:rsidRPr="00FD7278">
                    <w:rPr>
                      <w:i/>
                      <w:sz w:val="24"/>
                      <w:szCs w:val="24"/>
                    </w:rPr>
                    <w:t>Papildus informācija</w:t>
                  </w:r>
                  <w:r w:rsidRPr="00FD7278">
                    <w:rPr>
                      <w:sz w:val="24"/>
                      <w:szCs w:val="24"/>
                    </w:rPr>
                    <w:t>:</w:t>
                  </w:r>
                  <w:r w:rsidRPr="00FD7278">
                    <w:rPr>
                      <w:rFonts w:cs="Times New Roman"/>
                      <w:bCs/>
                      <w:sz w:val="24"/>
                      <w:szCs w:val="24"/>
                      <w:lang w:eastAsia="zh-TW" w:bidi="ar-SA"/>
                    </w:rPr>
                    <w:t xml:space="preserve"> Atbilstoši Nacionālo bruņoto spēku apkopotajiem datiem par iepriekšējiem gadiem vidēji </w:t>
                  </w:r>
                  <w:r w:rsidRPr="00FD7278">
                    <w:rPr>
                      <w:rFonts w:cs="Times New Roman"/>
                      <w:color w:val="000000"/>
                      <w:sz w:val="24"/>
                      <w:szCs w:val="24"/>
                      <w:lang w:eastAsia="zh-TW" w:bidi="ar-SA"/>
                    </w:rPr>
                    <w:t xml:space="preserve">gadā no profesionālā dienesta atvaļināti </w:t>
                  </w:r>
                  <w:r w:rsidRPr="00FD7278">
                    <w:rPr>
                      <w:rFonts w:cs="Times New Roman"/>
                      <w:b/>
                      <w:bCs/>
                      <w:color w:val="000000"/>
                      <w:sz w:val="24"/>
                      <w:szCs w:val="24"/>
                      <w:lang w:eastAsia="zh-TW" w:bidi="ar-SA"/>
                    </w:rPr>
                    <w:t>294</w:t>
                  </w:r>
                  <w:r w:rsidRPr="00FD7278">
                    <w:rPr>
                      <w:rFonts w:cs="Times New Roman"/>
                      <w:color w:val="000000"/>
                      <w:sz w:val="24"/>
                      <w:szCs w:val="24"/>
                      <w:lang w:eastAsia="zh-TW" w:bidi="ar-SA"/>
                    </w:rPr>
                    <w:t xml:space="preserve"> karavīri (2011., 2012, 2013. gada dati), kuri atbilst statusam „rezerves karavīrs” un uzņemti rezerves uzskaitē. Izdienas pensijas piešķirtas 97 gadījumos, tātad – katram trešajam no dienesta atvaļinātajam. Vidējā aprēķinātā izdienas pensija ir 380,63 </w:t>
                  </w:r>
                  <w:proofErr w:type="spellStart"/>
                  <w:r w:rsidRPr="00FD7278">
                    <w:rPr>
                      <w:rFonts w:cs="Times New Roman"/>
                      <w:i/>
                      <w:color w:val="000000"/>
                      <w:sz w:val="24"/>
                      <w:szCs w:val="24"/>
                      <w:lang w:eastAsia="zh-TW" w:bidi="ar-SA"/>
                    </w:rPr>
                    <w:t>euro</w:t>
                  </w:r>
                  <w:proofErr w:type="spellEnd"/>
                  <w:r w:rsidRPr="00FD7278">
                    <w:rPr>
                      <w:rFonts w:cs="Times New Roman"/>
                      <w:color w:val="000000"/>
                      <w:sz w:val="24"/>
                      <w:szCs w:val="24"/>
                      <w:lang w:eastAsia="zh-TW" w:bidi="ar-SA"/>
                    </w:rPr>
                    <w:t xml:space="preserve">. No 294 rezervē atvaļinātajiem 49 neatbilst atkārtota dienesta prasībām (veselības stāvokļa dēļ </w:t>
                  </w:r>
                  <w:proofErr w:type="gramStart"/>
                  <w:r w:rsidRPr="00FD7278">
                    <w:rPr>
                      <w:rFonts w:cs="Times New Roman"/>
                      <w:color w:val="000000"/>
                      <w:sz w:val="24"/>
                      <w:szCs w:val="24"/>
                      <w:lang w:eastAsia="zh-TW" w:bidi="ar-SA"/>
                    </w:rPr>
                    <w:t>atvaļināti –2</w:t>
                  </w:r>
                  <w:proofErr w:type="gramEnd"/>
                  <w:r w:rsidRPr="00FD7278">
                    <w:rPr>
                      <w:rFonts w:cs="Times New Roman"/>
                      <w:color w:val="000000"/>
                      <w:sz w:val="24"/>
                      <w:szCs w:val="24"/>
                      <w:lang w:eastAsia="zh-TW" w:bidi="ar-SA"/>
                    </w:rPr>
                    <w:t>4, disciplinārsoda vai tiesas sprieduma dēļ –18, sakarā ar to, ka atklājušies apstākļi, kas liedz turpināt dienestu –7). Pārējie 203 potenciāli atbilst militārā dienesta prasībām (precīzi to varēs noteikt tikai pēc veselības pārbaudes).</w:t>
                  </w:r>
                </w:p>
              </w:tc>
            </w:tr>
          </w:tbl>
          <w:p w:rsidR="00B2175F" w:rsidRPr="00FD7278" w:rsidRDefault="00B2175F" w:rsidP="00E352CC">
            <w:pPr>
              <w:spacing w:line="360" w:lineRule="auto"/>
              <w:rPr>
                <w:rFonts w:cs="Times New Roman"/>
                <w:sz w:val="24"/>
                <w:szCs w:val="24"/>
                <w:lang w:eastAsia="lv-LV" w:bidi="ar-SA"/>
              </w:rPr>
            </w:pPr>
          </w:p>
          <w:tbl>
            <w:tblPr>
              <w:tblW w:w="4950" w:type="pct"/>
              <w:tblCellSpacing w:w="15" w:type="dxa"/>
              <w:tblInd w:w="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3206"/>
              <w:gridCol w:w="6318"/>
            </w:tblGrid>
            <w:tr w:rsidR="00FD7278" w:rsidRPr="00FD7278" w:rsidTr="000D47A5">
              <w:trPr>
                <w:trHeight w:val="555"/>
                <w:tblCellSpacing w:w="15" w:type="dxa"/>
              </w:trPr>
              <w:tc>
                <w:tcPr>
                  <w:tcW w:w="10029" w:type="dxa"/>
                  <w:gridSpan w:val="3"/>
                  <w:tcBorders>
                    <w:top w:val="outset" w:sz="6" w:space="0" w:color="auto"/>
                    <w:left w:val="outset" w:sz="6" w:space="0" w:color="auto"/>
                    <w:bottom w:val="outset" w:sz="6" w:space="0" w:color="auto"/>
                    <w:right w:val="outset" w:sz="6" w:space="0" w:color="auto"/>
                  </w:tcBorders>
                  <w:vAlign w:val="center"/>
                  <w:hideMark/>
                </w:tcPr>
                <w:p w:rsidR="00FD1817" w:rsidRPr="00E352CC" w:rsidRDefault="00FD1817" w:rsidP="00E352CC">
                  <w:pPr>
                    <w:spacing w:line="360" w:lineRule="auto"/>
                    <w:jc w:val="center"/>
                    <w:rPr>
                      <w:rFonts w:cs="Times New Roman"/>
                      <w:b/>
                      <w:bCs/>
                      <w:sz w:val="24"/>
                      <w:szCs w:val="24"/>
                      <w:lang w:eastAsia="lv-LV" w:bidi="ar-SA"/>
                    </w:rPr>
                  </w:pPr>
                  <w:r w:rsidRPr="00E352CC">
                    <w:rPr>
                      <w:rFonts w:cs="Times New Roman"/>
                      <w:b/>
                      <w:bCs/>
                      <w:sz w:val="24"/>
                      <w:szCs w:val="24"/>
                      <w:lang w:eastAsia="lv-LV" w:bidi="ar-SA"/>
                    </w:rPr>
                    <w:t>II. Tiesību akta projekta ietekme uz sabiedrību, tautsaimniecības attīstību un administratīvo slogu</w:t>
                  </w:r>
                </w:p>
              </w:tc>
            </w:tr>
            <w:tr w:rsidR="00FD7278" w:rsidRPr="00FD7278" w:rsidTr="000D47A5">
              <w:trPr>
                <w:trHeight w:val="465"/>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1.</w:t>
                  </w:r>
                </w:p>
              </w:tc>
              <w:tc>
                <w:tcPr>
                  <w:tcW w:w="3176"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Sabiedrības mērķgrupas, kuras tiesiskais regulējums ietekmē vai varētu ietekmēt</w:t>
                  </w:r>
                </w:p>
              </w:tc>
              <w:tc>
                <w:tcPr>
                  <w:tcW w:w="6274" w:type="dxa"/>
                  <w:tcBorders>
                    <w:top w:val="outset" w:sz="6" w:space="0" w:color="auto"/>
                    <w:left w:val="outset" w:sz="6" w:space="0" w:color="auto"/>
                    <w:bottom w:val="outset" w:sz="6" w:space="0" w:color="auto"/>
                    <w:right w:val="outset" w:sz="6" w:space="0" w:color="auto"/>
                  </w:tcBorders>
                  <w:hideMark/>
                </w:tcPr>
                <w:p w:rsidR="0086597E" w:rsidRPr="00FD7278" w:rsidRDefault="001A48B3" w:rsidP="001A48B3">
                  <w:pPr>
                    <w:jc w:val="both"/>
                    <w:rPr>
                      <w:rFonts w:cs="Times New Roman"/>
                      <w:sz w:val="24"/>
                      <w:szCs w:val="24"/>
                      <w:lang w:eastAsia="lv-LV" w:bidi="ar-SA"/>
                    </w:rPr>
                  </w:pPr>
                  <w:r w:rsidRPr="0092177D">
                    <w:rPr>
                      <w:rFonts w:cs="Times New Roman"/>
                      <w:sz w:val="24"/>
                      <w:szCs w:val="24"/>
                      <w:lang w:eastAsia="lv-LV" w:bidi="ar-SA"/>
                    </w:rPr>
                    <w:t>Pēc 2018.</w:t>
                  </w:r>
                  <w:r w:rsidR="00950BD5">
                    <w:rPr>
                      <w:rFonts w:cs="Times New Roman"/>
                      <w:sz w:val="24"/>
                      <w:szCs w:val="24"/>
                      <w:lang w:eastAsia="lv-LV" w:bidi="ar-SA"/>
                    </w:rPr>
                    <w:t> </w:t>
                  </w:r>
                  <w:r w:rsidRPr="0092177D">
                    <w:rPr>
                      <w:rFonts w:cs="Times New Roman"/>
                      <w:sz w:val="24"/>
                      <w:szCs w:val="24"/>
                      <w:lang w:eastAsia="lv-LV" w:bidi="ar-SA"/>
                    </w:rPr>
                    <w:t>gada būs vidēji līdz 10 NBS profesionālā dienesta karavīriem gadā, kuri nodienējuši NBS vairāk par 25 gadi un līdz 50 rezerves karavīri gadā, kuri varētu atgriezties militārajā dienestā.</w:t>
                  </w:r>
                </w:p>
              </w:tc>
            </w:tr>
            <w:tr w:rsidR="00FD7278" w:rsidRPr="00FD7278" w:rsidTr="000D47A5">
              <w:trPr>
                <w:trHeight w:val="510"/>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2.</w:t>
                  </w:r>
                </w:p>
              </w:tc>
              <w:tc>
                <w:tcPr>
                  <w:tcW w:w="3176"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Tiesiskā regulējuma ietekme uz tautsaimniecību un administratīvo slogu</w:t>
                  </w:r>
                </w:p>
              </w:tc>
              <w:tc>
                <w:tcPr>
                  <w:tcW w:w="6274" w:type="dxa"/>
                  <w:tcBorders>
                    <w:top w:val="outset" w:sz="6" w:space="0" w:color="auto"/>
                    <w:left w:val="outset" w:sz="6" w:space="0" w:color="auto"/>
                    <w:bottom w:val="outset" w:sz="6" w:space="0" w:color="auto"/>
                    <w:right w:val="outset" w:sz="6" w:space="0" w:color="auto"/>
                  </w:tcBorders>
                  <w:hideMark/>
                </w:tcPr>
                <w:p w:rsidR="00FD1817" w:rsidRPr="0092177D" w:rsidRDefault="008C676E" w:rsidP="008C676E">
                  <w:pPr>
                    <w:spacing w:before="100" w:beforeAutospacing="1" w:after="100" w:afterAutospacing="1"/>
                    <w:jc w:val="center"/>
                    <w:rPr>
                      <w:rFonts w:cs="Times New Roman"/>
                      <w:sz w:val="24"/>
                      <w:szCs w:val="24"/>
                    </w:rPr>
                  </w:pPr>
                  <w:r w:rsidRPr="0092177D">
                    <w:rPr>
                      <w:rFonts w:cs="Times New Roman"/>
                      <w:sz w:val="24"/>
                      <w:szCs w:val="24"/>
                    </w:rPr>
                    <w:t>Projekts šo jomu neskar.</w:t>
                  </w:r>
                </w:p>
              </w:tc>
            </w:tr>
            <w:tr w:rsidR="00FD7278" w:rsidRPr="00FD7278" w:rsidTr="000D47A5">
              <w:trPr>
                <w:trHeight w:val="510"/>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lastRenderedPageBreak/>
                    <w:t>3.</w:t>
                  </w:r>
                </w:p>
              </w:tc>
              <w:tc>
                <w:tcPr>
                  <w:tcW w:w="3176"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Administratīvo izmaksu monetārs novērtējums</w:t>
                  </w:r>
                </w:p>
              </w:tc>
              <w:tc>
                <w:tcPr>
                  <w:tcW w:w="6274" w:type="dxa"/>
                  <w:tcBorders>
                    <w:top w:val="outset" w:sz="6" w:space="0" w:color="auto"/>
                    <w:left w:val="outset" w:sz="6" w:space="0" w:color="auto"/>
                    <w:bottom w:val="outset" w:sz="6" w:space="0" w:color="auto"/>
                    <w:right w:val="outset" w:sz="6" w:space="0" w:color="auto"/>
                  </w:tcBorders>
                  <w:hideMark/>
                </w:tcPr>
                <w:p w:rsidR="00FD1817" w:rsidRPr="0092177D" w:rsidRDefault="009A2432" w:rsidP="009A2432">
                  <w:pPr>
                    <w:jc w:val="center"/>
                    <w:rPr>
                      <w:rFonts w:cs="Times New Roman"/>
                      <w:sz w:val="24"/>
                      <w:szCs w:val="24"/>
                      <w:lang w:eastAsia="lv-LV" w:bidi="ar-SA"/>
                    </w:rPr>
                  </w:pPr>
                  <w:r w:rsidRPr="0092177D">
                    <w:rPr>
                      <w:rFonts w:cs="Times New Roman"/>
                      <w:iCs/>
                      <w:sz w:val="24"/>
                      <w:szCs w:val="24"/>
                    </w:rPr>
                    <w:t>Nav</w:t>
                  </w:r>
                </w:p>
              </w:tc>
            </w:tr>
            <w:tr w:rsidR="00FD7278" w:rsidRPr="00FD7278" w:rsidTr="000D47A5">
              <w:trPr>
                <w:trHeight w:val="540"/>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FD1817" w:rsidRPr="00FD7278" w:rsidRDefault="00FD1817" w:rsidP="006B6F63">
                  <w:pPr>
                    <w:rPr>
                      <w:rFonts w:cs="Times New Roman"/>
                      <w:sz w:val="24"/>
                      <w:szCs w:val="24"/>
                      <w:lang w:eastAsia="lv-LV" w:bidi="ar-SA"/>
                    </w:rPr>
                  </w:pPr>
                  <w:r w:rsidRPr="00FD7278">
                    <w:rPr>
                      <w:rFonts w:cs="Times New Roman"/>
                      <w:sz w:val="24"/>
                      <w:szCs w:val="24"/>
                      <w:lang w:eastAsia="lv-LV" w:bidi="ar-SA"/>
                    </w:rPr>
                    <w:t>4.</w:t>
                  </w:r>
                </w:p>
                <w:p w:rsidR="00D702ED" w:rsidRPr="00FD7278" w:rsidRDefault="00D702ED" w:rsidP="006B6F63">
                  <w:pPr>
                    <w:rPr>
                      <w:rFonts w:cs="Times New Roman"/>
                      <w:sz w:val="24"/>
                      <w:szCs w:val="24"/>
                      <w:lang w:eastAsia="lv-LV" w:bidi="ar-SA"/>
                    </w:rPr>
                  </w:pPr>
                </w:p>
              </w:tc>
              <w:tc>
                <w:tcPr>
                  <w:tcW w:w="3176" w:type="dxa"/>
                  <w:tcBorders>
                    <w:top w:val="outset" w:sz="6" w:space="0" w:color="auto"/>
                    <w:left w:val="outset" w:sz="6" w:space="0" w:color="auto"/>
                    <w:bottom w:val="outset" w:sz="6" w:space="0" w:color="auto"/>
                    <w:right w:val="outset" w:sz="6" w:space="0" w:color="auto"/>
                  </w:tcBorders>
                  <w:hideMark/>
                </w:tcPr>
                <w:p w:rsidR="00FD1817" w:rsidRPr="00FD7278" w:rsidRDefault="00FD1817" w:rsidP="006B6F63">
                  <w:pPr>
                    <w:rPr>
                      <w:rFonts w:cs="Times New Roman"/>
                      <w:sz w:val="24"/>
                      <w:szCs w:val="24"/>
                      <w:lang w:eastAsia="lv-LV" w:bidi="ar-SA"/>
                    </w:rPr>
                  </w:pPr>
                  <w:r w:rsidRPr="00FD7278">
                    <w:rPr>
                      <w:rFonts w:cs="Times New Roman"/>
                      <w:sz w:val="24"/>
                      <w:szCs w:val="24"/>
                      <w:lang w:eastAsia="lv-LV" w:bidi="ar-SA"/>
                    </w:rPr>
                    <w:t>Cita informācija</w:t>
                  </w:r>
                </w:p>
              </w:tc>
              <w:tc>
                <w:tcPr>
                  <w:tcW w:w="6274" w:type="dxa"/>
                  <w:tcBorders>
                    <w:top w:val="outset" w:sz="6" w:space="0" w:color="auto"/>
                    <w:left w:val="outset" w:sz="6" w:space="0" w:color="auto"/>
                    <w:bottom w:val="outset" w:sz="6" w:space="0" w:color="auto"/>
                    <w:right w:val="outset" w:sz="6" w:space="0" w:color="auto"/>
                  </w:tcBorders>
                  <w:hideMark/>
                </w:tcPr>
                <w:p w:rsidR="00FD1817" w:rsidRPr="00FD7278" w:rsidRDefault="00D51155" w:rsidP="00E352CC">
                  <w:pPr>
                    <w:spacing w:after="100" w:afterAutospacing="1"/>
                    <w:jc w:val="center"/>
                    <w:rPr>
                      <w:rFonts w:cs="Times New Roman"/>
                      <w:sz w:val="24"/>
                      <w:szCs w:val="24"/>
                      <w:lang w:eastAsia="lv-LV" w:bidi="ar-SA"/>
                    </w:rPr>
                  </w:pPr>
                  <w:r w:rsidRPr="00FD7278">
                    <w:rPr>
                      <w:rFonts w:cs="Times New Roman"/>
                      <w:sz w:val="24"/>
                      <w:szCs w:val="24"/>
                      <w:lang w:eastAsia="lv-LV" w:bidi="ar-SA"/>
                    </w:rPr>
                    <w:t>Nav</w:t>
                  </w:r>
                </w:p>
              </w:tc>
            </w:tr>
          </w:tbl>
          <w:p w:rsidR="000D47A5" w:rsidRPr="00FD7278" w:rsidRDefault="000D47A5"/>
          <w:tbl>
            <w:tblPr>
              <w:tblW w:w="493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74"/>
              <w:gridCol w:w="1179"/>
              <w:gridCol w:w="1385"/>
              <w:gridCol w:w="1513"/>
              <w:gridCol w:w="1599"/>
              <w:gridCol w:w="1810"/>
            </w:tblGrid>
            <w:tr w:rsidR="00FD7278" w:rsidRPr="00FD7278" w:rsidTr="000D47A5">
              <w:trPr>
                <w:trHeight w:val="360"/>
                <w:tblCellSpacing w:w="15" w:type="dxa"/>
                <w:jc w:val="center"/>
              </w:trPr>
              <w:tc>
                <w:tcPr>
                  <w:tcW w:w="10000" w:type="dxa"/>
                  <w:gridSpan w:val="6"/>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rsidP="00E352CC">
                  <w:pPr>
                    <w:spacing w:before="120" w:after="120"/>
                    <w:jc w:val="center"/>
                    <w:rPr>
                      <w:rFonts w:cs="Times New Roman"/>
                      <w:b/>
                      <w:bCs/>
                      <w:sz w:val="24"/>
                      <w:szCs w:val="24"/>
                      <w:lang w:eastAsia="lv-LV"/>
                    </w:rPr>
                  </w:pPr>
                  <w:r w:rsidRPr="00E352CC">
                    <w:rPr>
                      <w:rFonts w:cs="Times New Roman"/>
                      <w:b/>
                      <w:bCs/>
                      <w:sz w:val="24"/>
                      <w:szCs w:val="24"/>
                    </w:rPr>
                    <w:t>III. Tiesību akta projekta ietekme uz valsts budžetu un pašvaldību budžetiem</w:t>
                  </w:r>
                </w:p>
              </w:tc>
            </w:tr>
            <w:tr w:rsidR="00FD7278" w:rsidRPr="00FD7278" w:rsidTr="000D47A5">
              <w:trPr>
                <w:tblCellSpacing w:w="15" w:type="dxa"/>
                <w:jc w:val="center"/>
              </w:trPr>
              <w:tc>
                <w:tcPr>
                  <w:tcW w:w="2529" w:type="dxa"/>
                  <w:vMerge w:val="restart"/>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b/>
                      <w:bCs/>
                      <w:sz w:val="24"/>
                      <w:szCs w:val="24"/>
                      <w:lang w:eastAsia="lv-LV"/>
                    </w:rPr>
                  </w:pPr>
                  <w:r w:rsidRPr="00E352CC">
                    <w:rPr>
                      <w:rFonts w:cs="Times New Roman"/>
                      <w:b/>
                      <w:bCs/>
                      <w:sz w:val="24"/>
                      <w:szCs w:val="24"/>
                      <w:lang w:eastAsia="lv-LV"/>
                    </w:rPr>
                    <w:t>Rādītāji</w:t>
                  </w:r>
                </w:p>
              </w:tc>
              <w:tc>
                <w:tcPr>
                  <w:tcW w:w="25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b/>
                      <w:bCs/>
                      <w:sz w:val="24"/>
                      <w:szCs w:val="24"/>
                      <w:lang w:eastAsia="lv-LV"/>
                    </w:rPr>
                  </w:pPr>
                  <w:r w:rsidRPr="00E352CC">
                    <w:rPr>
                      <w:rFonts w:cs="Times New Roman"/>
                      <w:b/>
                      <w:bCs/>
                      <w:sz w:val="24"/>
                      <w:szCs w:val="24"/>
                      <w:lang w:eastAsia="lv-LV"/>
                    </w:rPr>
                    <w:t>2016. gads</w:t>
                  </w:r>
                </w:p>
              </w:tc>
              <w:tc>
                <w:tcPr>
                  <w:tcW w:w="4877" w:type="dxa"/>
                  <w:gridSpan w:val="3"/>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Turpmākie trīs gadi (</w:t>
                  </w:r>
                  <w:proofErr w:type="spellStart"/>
                  <w:r w:rsidRPr="00E352CC">
                    <w:rPr>
                      <w:rFonts w:cs="Times New Roman"/>
                      <w:i/>
                      <w:iCs/>
                      <w:sz w:val="24"/>
                      <w:szCs w:val="24"/>
                      <w:lang w:eastAsia="lv-LV"/>
                    </w:rPr>
                    <w:t>euro</w:t>
                  </w:r>
                  <w:proofErr w:type="spellEnd"/>
                  <w:r w:rsidRPr="00E352CC">
                    <w:rPr>
                      <w:rFonts w:cs="Times New Roman"/>
                      <w:sz w:val="24"/>
                      <w:szCs w:val="24"/>
                      <w:lang w:eastAsia="lv-LV"/>
                    </w:rPr>
                    <w:t>)</w:t>
                  </w:r>
                </w:p>
              </w:tc>
            </w:tr>
            <w:tr w:rsidR="00FD7278" w:rsidRPr="00FD7278" w:rsidTr="000D47A5">
              <w:trPr>
                <w:tblCellSpacing w:w="15" w:type="dxa"/>
                <w:jc w:val="center"/>
              </w:trPr>
              <w:tc>
                <w:tcPr>
                  <w:tcW w:w="252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b/>
                      <w:bCs/>
                      <w:sz w:val="24"/>
                      <w:szCs w:val="24"/>
                      <w:lang w:eastAsia="lv-LV"/>
                    </w:rPr>
                  </w:pPr>
                </w:p>
              </w:tc>
              <w:tc>
                <w:tcPr>
                  <w:tcW w:w="2534" w:type="dxa"/>
                  <w:gridSpan w:val="2"/>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b/>
                      <w:bCs/>
                      <w:sz w:val="24"/>
                      <w:szCs w:val="24"/>
                      <w:lang w:eastAsia="lv-LV"/>
                    </w:rPr>
                  </w:pPr>
                </w:p>
              </w:tc>
              <w:tc>
                <w:tcPr>
                  <w:tcW w:w="1483"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spacing w:before="100" w:beforeAutospacing="1" w:after="100" w:afterAutospacing="1"/>
                    <w:jc w:val="center"/>
                    <w:rPr>
                      <w:rFonts w:cs="Times New Roman"/>
                      <w:b/>
                      <w:bCs/>
                      <w:sz w:val="24"/>
                      <w:szCs w:val="24"/>
                      <w:lang w:eastAsia="lv-LV"/>
                    </w:rPr>
                  </w:pPr>
                  <w:r w:rsidRPr="00E352CC">
                    <w:rPr>
                      <w:rFonts w:cs="Times New Roman"/>
                      <w:b/>
                      <w:bCs/>
                      <w:sz w:val="24"/>
                      <w:szCs w:val="24"/>
                      <w:lang w:eastAsia="lv-LV"/>
                    </w:rPr>
                    <w:t>2017</w:t>
                  </w:r>
                </w:p>
              </w:tc>
              <w:tc>
                <w:tcPr>
                  <w:tcW w:w="1569"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spacing w:before="100" w:beforeAutospacing="1" w:after="100" w:afterAutospacing="1"/>
                    <w:jc w:val="center"/>
                    <w:rPr>
                      <w:rFonts w:cs="Times New Roman"/>
                      <w:b/>
                      <w:bCs/>
                      <w:sz w:val="24"/>
                      <w:szCs w:val="24"/>
                      <w:lang w:eastAsia="lv-LV"/>
                    </w:rPr>
                  </w:pPr>
                  <w:r w:rsidRPr="00E352CC">
                    <w:rPr>
                      <w:rFonts w:cs="Times New Roman"/>
                      <w:b/>
                      <w:bCs/>
                      <w:sz w:val="24"/>
                      <w:szCs w:val="24"/>
                      <w:lang w:eastAsia="lv-LV"/>
                    </w:rPr>
                    <w:t>2018</w:t>
                  </w:r>
                </w:p>
              </w:tc>
              <w:tc>
                <w:tcPr>
                  <w:tcW w:w="1765"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spacing w:before="100" w:beforeAutospacing="1" w:after="100" w:afterAutospacing="1"/>
                    <w:jc w:val="center"/>
                    <w:rPr>
                      <w:rFonts w:cs="Times New Roman"/>
                      <w:b/>
                      <w:bCs/>
                      <w:sz w:val="24"/>
                      <w:szCs w:val="24"/>
                      <w:lang w:eastAsia="lv-LV"/>
                    </w:rPr>
                  </w:pPr>
                  <w:r w:rsidRPr="00E352CC">
                    <w:rPr>
                      <w:rFonts w:cs="Times New Roman"/>
                      <w:b/>
                      <w:bCs/>
                      <w:sz w:val="24"/>
                      <w:szCs w:val="24"/>
                      <w:lang w:eastAsia="lv-LV"/>
                    </w:rPr>
                    <w:t>2019</w:t>
                  </w:r>
                </w:p>
              </w:tc>
            </w:tr>
            <w:tr w:rsidR="00FD7278" w:rsidRPr="00FD7278" w:rsidTr="000D47A5">
              <w:trPr>
                <w:tblCellSpacing w:w="15" w:type="dxa"/>
                <w:jc w:val="center"/>
              </w:trPr>
              <w:tc>
                <w:tcPr>
                  <w:tcW w:w="252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b/>
                      <w:bCs/>
                      <w:sz w:val="24"/>
                      <w:szCs w:val="24"/>
                      <w:lang w:eastAsia="lv-LV"/>
                    </w:rPr>
                  </w:pPr>
                </w:p>
              </w:tc>
              <w:tc>
                <w:tcPr>
                  <w:tcW w:w="1149"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Saskaņā ar valsts budžetu kārtējam gadam</w:t>
                  </w:r>
                </w:p>
              </w:tc>
              <w:tc>
                <w:tcPr>
                  <w:tcW w:w="1355"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Izmaiņas kārtējā gadā, salīdzinot ar valsts budžetu kārtējam gadam</w:t>
                  </w:r>
                </w:p>
              </w:tc>
              <w:tc>
                <w:tcPr>
                  <w:tcW w:w="1483"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Izmaiņas, salīdzinot ar kārtējo (2016.) gadu</w:t>
                  </w:r>
                </w:p>
              </w:tc>
              <w:tc>
                <w:tcPr>
                  <w:tcW w:w="1569"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 xml:space="preserve">Izmaiņas, salīdzinot ar kārtējo </w:t>
                  </w:r>
                </w:p>
                <w:p w:rsidR="00D702ED" w:rsidRPr="00E352CC" w:rsidRDefault="00D702ED">
                  <w:pPr>
                    <w:jc w:val="center"/>
                    <w:rPr>
                      <w:rFonts w:cs="Times New Roman"/>
                      <w:sz w:val="24"/>
                      <w:szCs w:val="24"/>
                      <w:lang w:eastAsia="lv-LV"/>
                    </w:rPr>
                  </w:pPr>
                  <w:r w:rsidRPr="00E352CC">
                    <w:rPr>
                      <w:rFonts w:cs="Times New Roman"/>
                      <w:sz w:val="24"/>
                      <w:szCs w:val="24"/>
                      <w:lang w:eastAsia="lv-LV"/>
                    </w:rPr>
                    <w:t xml:space="preserve">(2017.) </w:t>
                  </w:r>
                </w:p>
                <w:p w:rsidR="00D702ED" w:rsidRPr="00E352CC" w:rsidRDefault="00D702ED">
                  <w:pPr>
                    <w:jc w:val="center"/>
                    <w:rPr>
                      <w:rFonts w:cs="Times New Roman"/>
                      <w:sz w:val="24"/>
                      <w:szCs w:val="24"/>
                      <w:lang w:eastAsia="lv-LV"/>
                    </w:rPr>
                  </w:pPr>
                  <w:r w:rsidRPr="00E352CC">
                    <w:rPr>
                      <w:rFonts w:cs="Times New Roman"/>
                      <w:sz w:val="24"/>
                      <w:szCs w:val="24"/>
                      <w:lang w:eastAsia="lv-LV"/>
                    </w:rPr>
                    <w:t>gadu</w:t>
                  </w:r>
                </w:p>
              </w:tc>
              <w:tc>
                <w:tcPr>
                  <w:tcW w:w="1765"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 xml:space="preserve">Izmaiņas, salīdzinot ar kārtējo </w:t>
                  </w:r>
                </w:p>
                <w:p w:rsidR="00D702ED" w:rsidRPr="00E352CC" w:rsidRDefault="00D702ED">
                  <w:pPr>
                    <w:jc w:val="center"/>
                    <w:rPr>
                      <w:rFonts w:cs="Times New Roman"/>
                      <w:sz w:val="24"/>
                      <w:szCs w:val="24"/>
                      <w:lang w:eastAsia="lv-LV"/>
                    </w:rPr>
                  </w:pPr>
                  <w:r w:rsidRPr="00E352CC">
                    <w:rPr>
                      <w:rFonts w:cs="Times New Roman"/>
                      <w:sz w:val="24"/>
                      <w:szCs w:val="24"/>
                      <w:lang w:eastAsia="lv-LV"/>
                    </w:rPr>
                    <w:t xml:space="preserve">(2018.) </w:t>
                  </w:r>
                </w:p>
                <w:p w:rsidR="00D702ED" w:rsidRPr="00E352CC" w:rsidRDefault="00D702ED">
                  <w:pPr>
                    <w:jc w:val="center"/>
                    <w:rPr>
                      <w:rFonts w:cs="Times New Roman"/>
                      <w:sz w:val="24"/>
                      <w:szCs w:val="24"/>
                      <w:lang w:eastAsia="lv-LV"/>
                    </w:rPr>
                  </w:pPr>
                  <w:r w:rsidRPr="00E352CC">
                    <w:rPr>
                      <w:rFonts w:cs="Times New Roman"/>
                      <w:sz w:val="24"/>
                      <w:szCs w:val="24"/>
                      <w:lang w:eastAsia="lv-LV"/>
                    </w:rPr>
                    <w:t>gadu</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1</w:t>
                  </w:r>
                </w:p>
              </w:tc>
              <w:tc>
                <w:tcPr>
                  <w:tcW w:w="1149"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2</w:t>
                  </w:r>
                </w:p>
              </w:tc>
              <w:tc>
                <w:tcPr>
                  <w:tcW w:w="1355"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3</w:t>
                  </w:r>
                </w:p>
              </w:tc>
              <w:tc>
                <w:tcPr>
                  <w:tcW w:w="1483"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4</w:t>
                  </w:r>
                </w:p>
              </w:tc>
              <w:tc>
                <w:tcPr>
                  <w:tcW w:w="1569"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5</w:t>
                  </w:r>
                </w:p>
              </w:tc>
              <w:tc>
                <w:tcPr>
                  <w:tcW w:w="1765" w:type="dxa"/>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jc w:val="center"/>
                    <w:rPr>
                      <w:rFonts w:cs="Times New Roman"/>
                      <w:sz w:val="24"/>
                      <w:szCs w:val="24"/>
                      <w:lang w:eastAsia="lv-LV"/>
                    </w:rPr>
                  </w:pPr>
                  <w:r w:rsidRPr="00E352CC">
                    <w:rPr>
                      <w:rFonts w:cs="Times New Roman"/>
                      <w:sz w:val="24"/>
                      <w:szCs w:val="24"/>
                      <w:lang w:eastAsia="lv-LV"/>
                    </w:rPr>
                    <w:t>6</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1. Budžeta ieņēmumi:</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1.1. valsts pamatbudžets, tai skaitā ieņēmumi no maksas pakalpojumiem un citi pašu ieņēmumi</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1.2. valsts speciālais 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1.3. pašvaldību 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2. Budžeta izdevumi:</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2.1. valsts pamatbudžets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1064F6">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2.2. valsts speciālais 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2.3. pašvaldību 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3. Finansiālā ietekme:</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3.1. valsts pamatbudžets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rsidP="001064F6">
                  <w:pPr>
                    <w:pStyle w:val="ListParagraph"/>
                    <w:rPr>
                      <w:rFonts w:cs="Times New Roman"/>
                      <w:sz w:val="24"/>
                      <w:szCs w:val="24"/>
                      <w:lang w:eastAsia="lv-LV"/>
                    </w:rPr>
                  </w:pP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3.2. speciālais 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rHeight w:val="779"/>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3.3. pašvaldību budžets</w:t>
                  </w:r>
                </w:p>
              </w:tc>
              <w:tc>
                <w:tcPr>
                  <w:tcW w:w="114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vMerge w:val="restart"/>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 xml:space="preserve">4. Finanšu līdzekļi papildu izdevumu finansēšanai (kompensējošu izdevumu samazinājumu </w:t>
                  </w:r>
                  <w:r w:rsidRPr="00E352CC">
                    <w:rPr>
                      <w:rFonts w:cs="Times New Roman"/>
                      <w:sz w:val="24"/>
                      <w:szCs w:val="24"/>
                      <w:lang w:eastAsia="lv-LV"/>
                    </w:rPr>
                    <w:lastRenderedPageBreak/>
                    <w:t>norāda ar "+" zīmi)</w:t>
                  </w:r>
                </w:p>
              </w:tc>
              <w:tc>
                <w:tcPr>
                  <w:tcW w:w="1149" w:type="dxa"/>
                  <w:vMerge w:val="restart"/>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lastRenderedPageBreak/>
                    <w:t>X</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rPr>
                  </w:pP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rPr>
                  </w:pP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rPr>
                  </w:pP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rPr>
                  </w:pP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lastRenderedPageBreak/>
                    <w:t>5. Precizēta finansiālā ietekme:</w:t>
                  </w:r>
                </w:p>
              </w:tc>
              <w:tc>
                <w:tcPr>
                  <w:tcW w:w="1149" w:type="dxa"/>
                  <w:vMerge w:val="restart"/>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X</w:t>
                  </w: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5.1. valsts pamatbudžets</w:t>
                  </w: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rPr>
                  </w:pP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5.2. speciālais budžets</w:t>
                  </w: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rPr>
                  </w:pP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5.3. pašvaldību budžets</w:t>
                  </w: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rPr>
                  </w:pPr>
                </w:p>
              </w:tc>
              <w:tc>
                <w:tcPr>
                  <w:tcW w:w="135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483"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56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c>
                <w:tcPr>
                  <w:tcW w:w="1765"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0</w:t>
                  </w: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6. Detalizēts ieņēmumu un izdevumu aprēķins (ja nepieciešams, detalizētu ieņēmumu un izdevumu aprēķinu var pievienot anotācijas pielikumā):</w:t>
                  </w:r>
                </w:p>
              </w:tc>
              <w:tc>
                <w:tcPr>
                  <w:tcW w:w="7441"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rsidP="00D702ED">
                  <w:pPr>
                    <w:jc w:val="both"/>
                    <w:rPr>
                      <w:rFonts w:cs="Times New Roman"/>
                      <w:b/>
                      <w:i/>
                      <w:sz w:val="24"/>
                      <w:szCs w:val="24"/>
                      <w:lang w:eastAsia="zh-TW" w:bidi="ar-SA"/>
                    </w:rPr>
                  </w:pPr>
                  <w:r w:rsidRPr="00E352CC">
                    <w:rPr>
                      <w:rFonts w:cs="Times New Roman"/>
                      <w:b/>
                      <w:i/>
                      <w:sz w:val="24"/>
                      <w:szCs w:val="24"/>
                      <w:lang w:eastAsia="zh-TW" w:bidi="ar-SA"/>
                    </w:rPr>
                    <w:t>1.piemērs:</w:t>
                  </w:r>
                </w:p>
                <w:p w:rsidR="00D702ED" w:rsidRPr="00E352CC" w:rsidRDefault="00D702ED" w:rsidP="00D702ED">
                  <w:pPr>
                    <w:jc w:val="both"/>
                    <w:rPr>
                      <w:rFonts w:cs="Times New Roman"/>
                      <w:i/>
                      <w:sz w:val="24"/>
                      <w:szCs w:val="24"/>
                      <w:lang w:eastAsia="zh-TW" w:bidi="ar-SA"/>
                    </w:rPr>
                  </w:pPr>
                  <w:r w:rsidRPr="00E352CC">
                    <w:rPr>
                      <w:rFonts w:cs="Times New Roman"/>
                      <w:sz w:val="24"/>
                      <w:szCs w:val="24"/>
                      <w:lang w:eastAsia="zh-TW" w:bidi="ar-SA"/>
                    </w:rPr>
                    <w:t xml:space="preserve">Karavīrs no militārajā dienesta </w:t>
                  </w:r>
                  <w:r w:rsidR="00950BD5">
                    <w:rPr>
                      <w:rFonts w:cs="Times New Roman"/>
                      <w:sz w:val="24"/>
                      <w:szCs w:val="24"/>
                      <w:lang w:eastAsia="zh-TW" w:bidi="ar-SA"/>
                    </w:rPr>
                    <w:t xml:space="preserve">ir </w:t>
                  </w:r>
                  <w:r w:rsidRPr="00E352CC">
                    <w:rPr>
                      <w:rFonts w:cs="Times New Roman"/>
                      <w:sz w:val="24"/>
                      <w:szCs w:val="24"/>
                      <w:lang w:eastAsia="zh-TW" w:bidi="ar-SA"/>
                    </w:rPr>
                    <w:t>atvaļināts</w:t>
                  </w:r>
                  <w:r w:rsidR="00950BD5">
                    <w:rPr>
                      <w:rFonts w:cs="Times New Roman"/>
                      <w:sz w:val="24"/>
                      <w:szCs w:val="24"/>
                      <w:lang w:eastAsia="zh-TW" w:bidi="ar-SA"/>
                    </w:rPr>
                    <w:t>,</w:t>
                  </w:r>
                  <w:r w:rsidRPr="00E352CC">
                    <w:rPr>
                      <w:rFonts w:cs="Times New Roman"/>
                      <w:sz w:val="24"/>
                      <w:szCs w:val="24"/>
                      <w:lang w:eastAsia="zh-TW" w:bidi="ar-SA"/>
                    </w:rPr>
                    <w:t xml:space="preserve"> beidzoties līguma termiņam, nodienēti 25 gadi un vidējais dienesta atalgojums ir 1034,- </w:t>
                  </w:r>
                  <w:proofErr w:type="spellStart"/>
                  <w:r w:rsidRPr="00E352CC">
                    <w:rPr>
                      <w:rFonts w:cs="Times New Roman"/>
                      <w:i/>
                      <w:sz w:val="24"/>
                      <w:szCs w:val="24"/>
                      <w:lang w:eastAsia="zh-TW" w:bidi="ar-SA"/>
                    </w:rPr>
                    <w:t>euro</w:t>
                  </w:r>
                  <w:proofErr w:type="spellEnd"/>
                  <w:r w:rsidRPr="00E352CC">
                    <w:rPr>
                      <w:rFonts w:cs="Times New Roman"/>
                      <w:i/>
                      <w:sz w:val="24"/>
                      <w:szCs w:val="24"/>
                      <w:lang w:eastAsia="zh-TW" w:bidi="ar-SA"/>
                    </w:rPr>
                    <w:t xml:space="preserve">. </w:t>
                  </w:r>
                </w:p>
                <w:p w:rsidR="00D702ED" w:rsidRPr="00E352CC" w:rsidRDefault="00D702ED" w:rsidP="00D702ED">
                  <w:pPr>
                    <w:jc w:val="both"/>
                    <w:rPr>
                      <w:rFonts w:cs="Times New Roman"/>
                      <w:i/>
                      <w:sz w:val="24"/>
                      <w:szCs w:val="24"/>
                      <w:lang w:eastAsia="zh-TW" w:bidi="ar-SA"/>
                    </w:rPr>
                  </w:pPr>
                  <w:r w:rsidRPr="00E352CC">
                    <w:rPr>
                      <w:rFonts w:cs="Times New Roman"/>
                      <w:i/>
                      <w:sz w:val="24"/>
                      <w:szCs w:val="24"/>
                      <w:lang w:eastAsia="zh-TW" w:bidi="ar-SA"/>
                    </w:rPr>
                    <w:t xml:space="preserve">Izdienas pensija piešķirta 40% + </w:t>
                  </w:r>
                  <w:r w:rsidRPr="00E352CC">
                    <w:rPr>
                      <w:rFonts w:cs="Times New Roman"/>
                      <w:sz w:val="24"/>
                      <w:szCs w:val="24"/>
                      <w:lang w:eastAsia="zh-TW" w:bidi="ar-SA"/>
                    </w:rPr>
                    <w:t>5</w:t>
                  </w:r>
                  <w:r w:rsidR="00950BD5">
                    <w:rPr>
                      <w:rFonts w:cs="Times New Roman"/>
                      <w:sz w:val="24"/>
                      <w:szCs w:val="24"/>
                      <w:lang w:eastAsia="zh-TW" w:bidi="ar-SA"/>
                    </w:rPr>
                    <w:t xml:space="preserve"> </w:t>
                  </w:r>
                  <w:r w:rsidRPr="00E352CC">
                    <w:rPr>
                      <w:rFonts w:cs="Times New Roman"/>
                      <w:sz w:val="24"/>
                      <w:szCs w:val="24"/>
                      <w:lang w:eastAsia="zh-TW" w:bidi="ar-SA"/>
                    </w:rPr>
                    <w:t>gadi x 2</w:t>
                  </w:r>
                  <w:r w:rsidRPr="00E352CC">
                    <w:rPr>
                      <w:rFonts w:cs="Times New Roman"/>
                      <w:i/>
                      <w:sz w:val="24"/>
                      <w:szCs w:val="24"/>
                      <w:lang w:eastAsia="zh-TW" w:bidi="ar-SA"/>
                    </w:rPr>
                    <w:t>% = 50% apmērā no 1034,-euro kas ir 517,-euro.</w:t>
                  </w:r>
                </w:p>
                <w:p w:rsidR="00D702ED" w:rsidRPr="00E352CC" w:rsidRDefault="00D702ED" w:rsidP="00D702ED">
                  <w:pPr>
                    <w:jc w:val="both"/>
                    <w:rPr>
                      <w:rFonts w:cs="Times New Roman"/>
                      <w:i/>
                      <w:sz w:val="24"/>
                      <w:szCs w:val="24"/>
                      <w:lang w:eastAsia="zh-TW" w:bidi="ar-SA"/>
                    </w:rPr>
                  </w:pPr>
                  <w:r w:rsidRPr="00E352CC">
                    <w:rPr>
                      <w:rFonts w:cs="Times New Roman"/>
                      <w:i/>
                      <w:sz w:val="24"/>
                      <w:szCs w:val="24"/>
                      <w:lang w:eastAsia="zh-TW" w:bidi="ar-SA"/>
                    </w:rPr>
                    <w:t>Pēc likuma grozījumu spēkā stāšanās aprēķins būs šāds:</w:t>
                  </w:r>
                </w:p>
                <w:p w:rsidR="00D702ED" w:rsidRPr="00E352CC" w:rsidRDefault="00D702ED" w:rsidP="00D702ED">
                  <w:pPr>
                    <w:jc w:val="both"/>
                    <w:rPr>
                      <w:rFonts w:cs="Times New Roman"/>
                      <w:i/>
                      <w:sz w:val="24"/>
                      <w:szCs w:val="24"/>
                      <w:lang w:eastAsia="zh-TW" w:bidi="ar-SA"/>
                    </w:rPr>
                  </w:pPr>
                  <w:r w:rsidRPr="00E352CC">
                    <w:rPr>
                      <w:rFonts w:cs="Times New Roman"/>
                      <w:i/>
                      <w:sz w:val="24"/>
                      <w:szCs w:val="24"/>
                      <w:lang w:eastAsia="zh-TW" w:bidi="ar-SA"/>
                    </w:rPr>
                    <w:t xml:space="preserve"> Izdienas pensija piešķirta 55% + </w:t>
                  </w:r>
                  <w:r w:rsidRPr="00E352CC">
                    <w:rPr>
                      <w:rFonts w:cs="Times New Roman"/>
                      <w:sz w:val="24"/>
                      <w:szCs w:val="24"/>
                      <w:lang w:eastAsia="zh-TW" w:bidi="ar-SA"/>
                    </w:rPr>
                    <w:t>5</w:t>
                  </w:r>
                  <w:r w:rsidR="00950BD5">
                    <w:rPr>
                      <w:rFonts w:cs="Times New Roman"/>
                      <w:sz w:val="24"/>
                      <w:szCs w:val="24"/>
                      <w:lang w:eastAsia="zh-TW" w:bidi="ar-SA"/>
                    </w:rPr>
                    <w:t xml:space="preserve"> </w:t>
                  </w:r>
                  <w:r w:rsidRPr="00E352CC">
                    <w:rPr>
                      <w:rFonts w:cs="Times New Roman"/>
                      <w:sz w:val="24"/>
                      <w:szCs w:val="24"/>
                      <w:lang w:eastAsia="zh-TW" w:bidi="ar-SA"/>
                    </w:rPr>
                    <w:t>gadi x 2</w:t>
                  </w:r>
                  <w:r w:rsidRPr="00E352CC">
                    <w:rPr>
                      <w:rFonts w:cs="Times New Roman"/>
                      <w:i/>
                      <w:sz w:val="24"/>
                      <w:szCs w:val="24"/>
                      <w:lang w:eastAsia="zh-TW" w:bidi="ar-SA"/>
                    </w:rPr>
                    <w:t>% = 65% apmērā no 1034,-euro, kas ir 672,1-euro.</w:t>
                  </w:r>
                </w:p>
                <w:p w:rsidR="00D702ED" w:rsidRPr="00E352CC" w:rsidRDefault="00D702ED" w:rsidP="00D702ED">
                  <w:pPr>
                    <w:jc w:val="both"/>
                    <w:rPr>
                      <w:rFonts w:cs="Times New Roman"/>
                      <w:i/>
                      <w:sz w:val="24"/>
                      <w:szCs w:val="24"/>
                      <w:lang w:eastAsia="zh-TW" w:bidi="ar-SA"/>
                    </w:rPr>
                  </w:pPr>
                  <w:r w:rsidRPr="00E352CC">
                    <w:rPr>
                      <w:rFonts w:cs="Times New Roman"/>
                      <w:i/>
                      <w:sz w:val="24"/>
                      <w:szCs w:val="24"/>
                      <w:lang w:eastAsia="zh-TW" w:bidi="ar-SA"/>
                    </w:rPr>
                    <w:t xml:space="preserve">Tātad karavīri, kuri tiks atvaļināti pēc likuma spēkā stāšanās un </w:t>
                  </w:r>
                  <w:r w:rsidR="00C74485">
                    <w:rPr>
                      <w:rFonts w:cs="Times New Roman"/>
                      <w:i/>
                      <w:sz w:val="24"/>
                      <w:szCs w:val="24"/>
                      <w:lang w:eastAsia="zh-TW" w:bidi="ar-SA"/>
                    </w:rPr>
                    <w:t xml:space="preserve">Nacionālajos bruņotajos spēkos (turpmāk - </w:t>
                  </w:r>
                  <w:r w:rsidRPr="00E352CC">
                    <w:rPr>
                      <w:rFonts w:cs="Times New Roman"/>
                      <w:i/>
                      <w:sz w:val="24"/>
                      <w:szCs w:val="24"/>
                      <w:lang w:eastAsia="zh-TW" w:bidi="ar-SA"/>
                    </w:rPr>
                    <w:t>NBS</w:t>
                  </w:r>
                  <w:r w:rsidR="00C74485">
                    <w:rPr>
                      <w:rFonts w:cs="Times New Roman"/>
                      <w:i/>
                      <w:sz w:val="24"/>
                      <w:szCs w:val="24"/>
                      <w:lang w:eastAsia="zh-TW" w:bidi="ar-SA"/>
                    </w:rPr>
                    <w:t>)</w:t>
                  </w:r>
                  <w:r w:rsidRPr="00E352CC">
                    <w:rPr>
                      <w:rFonts w:cs="Times New Roman"/>
                      <w:i/>
                      <w:sz w:val="24"/>
                      <w:szCs w:val="24"/>
                      <w:lang w:eastAsia="zh-TW" w:bidi="ar-SA"/>
                    </w:rPr>
                    <w:t xml:space="preserve"> būs nodienējuši 25 gadus, saņems par 15% lielāku pensiju</w:t>
                  </w:r>
                  <w:proofErr w:type="gramStart"/>
                  <w:r w:rsidRPr="00E352CC">
                    <w:rPr>
                      <w:rFonts w:cs="Times New Roman"/>
                      <w:i/>
                      <w:sz w:val="24"/>
                      <w:szCs w:val="24"/>
                      <w:lang w:eastAsia="zh-TW" w:bidi="ar-SA"/>
                    </w:rPr>
                    <w:t xml:space="preserve"> nekā</w:t>
                  </w:r>
                  <w:proofErr w:type="gramEnd"/>
                  <w:r w:rsidRPr="00E352CC">
                    <w:rPr>
                      <w:rFonts w:cs="Times New Roman"/>
                      <w:i/>
                      <w:sz w:val="24"/>
                      <w:szCs w:val="24"/>
                      <w:lang w:eastAsia="zh-TW" w:bidi="ar-SA"/>
                    </w:rPr>
                    <w:t xml:space="preserve"> tas ir </w:t>
                  </w:r>
                  <w:r w:rsidR="00950BD5">
                    <w:rPr>
                      <w:rFonts w:cs="Times New Roman"/>
                      <w:i/>
                      <w:sz w:val="24"/>
                      <w:szCs w:val="24"/>
                      <w:lang w:eastAsia="zh-TW" w:bidi="ar-SA"/>
                    </w:rPr>
                    <w:t xml:space="preserve">noteikts </w:t>
                  </w:r>
                  <w:r w:rsidRPr="00E352CC">
                    <w:rPr>
                      <w:rFonts w:cs="Times New Roman"/>
                      <w:i/>
                      <w:sz w:val="24"/>
                      <w:szCs w:val="24"/>
                      <w:lang w:eastAsia="zh-TW" w:bidi="ar-SA"/>
                    </w:rPr>
                    <w:t xml:space="preserve">pašreiz. Konkrētajā piemērā par 155,1 </w:t>
                  </w:r>
                  <w:proofErr w:type="spellStart"/>
                  <w:r w:rsidRPr="00E352CC">
                    <w:rPr>
                      <w:rFonts w:cs="Times New Roman"/>
                      <w:i/>
                      <w:sz w:val="24"/>
                      <w:szCs w:val="24"/>
                      <w:lang w:eastAsia="zh-TW" w:bidi="ar-SA"/>
                    </w:rPr>
                    <w:t>euro</w:t>
                  </w:r>
                  <w:proofErr w:type="spellEnd"/>
                  <w:r w:rsidR="00766928">
                    <w:rPr>
                      <w:rFonts w:cs="Times New Roman"/>
                      <w:i/>
                      <w:sz w:val="24"/>
                      <w:szCs w:val="24"/>
                      <w:lang w:eastAsia="zh-TW" w:bidi="ar-SA"/>
                    </w:rPr>
                    <w:t xml:space="preserve"> mēnesī</w:t>
                  </w:r>
                  <w:r w:rsidRPr="00E352CC">
                    <w:rPr>
                      <w:rFonts w:cs="Times New Roman"/>
                      <w:i/>
                      <w:sz w:val="24"/>
                      <w:szCs w:val="24"/>
                      <w:lang w:eastAsia="zh-TW" w:bidi="ar-SA"/>
                    </w:rPr>
                    <w:t xml:space="preserve"> lielāku izdienas pensiju.</w:t>
                  </w:r>
                  <w:r w:rsidR="00EC7EA3" w:rsidRPr="00E352CC">
                    <w:rPr>
                      <w:rFonts w:cs="Times New Roman"/>
                      <w:i/>
                      <w:sz w:val="24"/>
                      <w:szCs w:val="24"/>
                      <w:lang w:eastAsia="zh-TW" w:bidi="ar-SA"/>
                    </w:rPr>
                    <w:t xml:space="preserve"> Pirmie karavīri</w:t>
                  </w:r>
                  <w:r w:rsidR="00766928">
                    <w:rPr>
                      <w:rFonts w:cs="Times New Roman"/>
                      <w:i/>
                      <w:sz w:val="24"/>
                      <w:szCs w:val="24"/>
                      <w:lang w:eastAsia="zh-TW" w:bidi="ar-SA"/>
                    </w:rPr>
                    <w:t>,</w:t>
                  </w:r>
                  <w:r w:rsidR="00EC7EA3" w:rsidRPr="00E352CC">
                    <w:rPr>
                      <w:rFonts w:cs="Times New Roman"/>
                      <w:i/>
                      <w:sz w:val="24"/>
                      <w:szCs w:val="24"/>
                      <w:lang w:eastAsia="zh-TW" w:bidi="ar-SA"/>
                    </w:rPr>
                    <w:t xml:space="preserve"> kuriem v</w:t>
                  </w:r>
                  <w:r w:rsidR="001064F6" w:rsidRPr="00E352CC">
                    <w:rPr>
                      <w:rFonts w:cs="Times New Roman"/>
                      <w:i/>
                      <w:sz w:val="24"/>
                      <w:szCs w:val="24"/>
                      <w:lang w:eastAsia="zh-TW" w:bidi="ar-SA"/>
                    </w:rPr>
                    <w:t>a</w:t>
                  </w:r>
                  <w:r w:rsidR="00EC7EA3" w:rsidRPr="00E352CC">
                    <w:rPr>
                      <w:rFonts w:cs="Times New Roman"/>
                      <w:i/>
                      <w:sz w:val="24"/>
                      <w:szCs w:val="24"/>
                      <w:lang w:eastAsia="zh-TW" w:bidi="ar-SA"/>
                    </w:rPr>
                    <w:t>rēs piemērot šo normu</w:t>
                  </w:r>
                  <w:r w:rsidR="00766928">
                    <w:rPr>
                      <w:rFonts w:cs="Times New Roman"/>
                      <w:i/>
                      <w:sz w:val="24"/>
                      <w:szCs w:val="24"/>
                      <w:lang w:eastAsia="zh-TW" w:bidi="ar-SA"/>
                    </w:rPr>
                    <w:t>,</w:t>
                  </w:r>
                  <w:r w:rsidR="00EC7EA3" w:rsidRPr="00E352CC">
                    <w:rPr>
                      <w:rFonts w:cs="Times New Roman"/>
                      <w:i/>
                      <w:sz w:val="24"/>
                      <w:szCs w:val="24"/>
                      <w:lang w:eastAsia="zh-TW" w:bidi="ar-SA"/>
                    </w:rPr>
                    <w:t xml:space="preserve"> var būt 2017.</w:t>
                  </w:r>
                  <w:r w:rsidR="00950BD5">
                    <w:rPr>
                      <w:rFonts w:cs="Times New Roman"/>
                      <w:i/>
                      <w:sz w:val="24"/>
                      <w:szCs w:val="24"/>
                      <w:lang w:eastAsia="zh-TW" w:bidi="ar-SA"/>
                    </w:rPr>
                    <w:t> </w:t>
                  </w:r>
                  <w:r w:rsidR="00EC7EA3" w:rsidRPr="00E352CC">
                    <w:rPr>
                      <w:rFonts w:cs="Times New Roman"/>
                      <w:i/>
                      <w:sz w:val="24"/>
                      <w:szCs w:val="24"/>
                      <w:lang w:eastAsia="zh-TW" w:bidi="ar-SA"/>
                    </w:rPr>
                    <w:t xml:space="preserve">gadā. </w:t>
                  </w:r>
                  <w:r w:rsidR="00766928">
                    <w:rPr>
                      <w:rFonts w:cs="Times New Roman"/>
                      <w:i/>
                      <w:sz w:val="24"/>
                      <w:szCs w:val="24"/>
                      <w:lang w:eastAsia="zh-TW" w:bidi="ar-SA"/>
                    </w:rPr>
                    <w:t>V</w:t>
                  </w:r>
                  <w:r w:rsidR="00EC7EA3" w:rsidRPr="00E352CC">
                    <w:rPr>
                      <w:rFonts w:cs="Times New Roman"/>
                      <w:i/>
                      <w:sz w:val="24"/>
                      <w:szCs w:val="24"/>
                      <w:lang w:eastAsia="zh-TW" w:bidi="ar-SA"/>
                    </w:rPr>
                    <w:t>idēji gadā š</w:t>
                  </w:r>
                  <w:r w:rsidR="00950BD5">
                    <w:rPr>
                      <w:rFonts w:cs="Times New Roman"/>
                      <w:i/>
                      <w:sz w:val="24"/>
                      <w:szCs w:val="24"/>
                      <w:lang w:eastAsia="zh-TW" w:bidi="ar-SA"/>
                    </w:rPr>
                    <w:t>ī</w:t>
                  </w:r>
                  <w:r w:rsidR="00EC7EA3" w:rsidRPr="00E352CC">
                    <w:rPr>
                      <w:rFonts w:cs="Times New Roman"/>
                      <w:i/>
                      <w:sz w:val="24"/>
                      <w:szCs w:val="24"/>
                      <w:lang w:eastAsia="zh-TW" w:bidi="ar-SA"/>
                    </w:rPr>
                    <w:t xml:space="preserve"> norm</w:t>
                  </w:r>
                  <w:r w:rsidR="00950BD5">
                    <w:rPr>
                      <w:rFonts w:cs="Times New Roman"/>
                      <w:i/>
                      <w:sz w:val="24"/>
                      <w:szCs w:val="24"/>
                      <w:lang w:eastAsia="zh-TW" w:bidi="ar-SA"/>
                    </w:rPr>
                    <w:t>a</w:t>
                  </w:r>
                  <w:r w:rsidR="00EC7EA3" w:rsidRPr="00E352CC">
                    <w:rPr>
                      <w:rFonts w:cs="Times New Roman"/>
                      <w:i/>
                      <w:sz w:val="24"/>
                      <w:szCs w:val="24"/>
                      <w:lang w:eastAsia="zh-TW" w:bidi="ar-SA"/>
                    </w:rPr>
                    <w:t xml:space="preserve"> </w:t>
                  </w:r>
                  <w:r w:rsidR="00950BD5">
                    <w:rPr>
                      <w:rFonts w:cs="Times New Roman"/>
                      <w:i/>
                      <w:sz w:val="24"/>
                      <w:szCs w:val="24"/>
                      <w:lang w:eastAsia="zh-TW" w:bidi="ar-SA"/>
                    </w:rPr>
                    <w:t xml:space="preserve">tiks </w:t>
                  </w:r>
                  <w:r w:rsidR="00EC7EA3" w:rsidRPr="00E352CC">
                    <w:rPr>
                      <w:rFonts w:cs="Times New Roman"/>
                      <w:i/>
                      <w:sz w:val="24"/>
                      <w:szCs w:val="24"/>
                      <w:lang w:eastAsia="zh-TW" w:bidi="ar-SA"/>
                    </w:rPr>
                    <w:t>piemēro</w:t>
                  </w:r>
                  <w:r w:rsidR="00950BD5">
                    <w:rPr>
                      <w:rFonts w:cs="Times New Roman"/>
                      <w:i/>
                      <w:sz w:val="24"/>
                      <w:szCs w:val="24"/>
                      <w:lang w:eastAsia="zh-TW" w:bidi="ar-SA"/>
                    </w:rPr>
                    <w:t>ta</w:t>
                  </w:r>
                  <w:r w:rsidR="00EC7EA3" w:rsidRPr="00E352CC">
                    <w:rPr>
                      <w:rFonts w:cs="Times New Roman"/>
                      <w:i/>
                      <w:sz w:val="24"/>
                      <w:szCs w:val="24"/>
                      <w:lang w:eastAsia="zh-TW" w:bidi="ar-SA"/>
                    </w:rPr>
                    <w:t xml:space="preserve"> 2 līdz 3 karavīriem.  Tāpēc izmaksas var parādīties tikai</w:t>
                  </w:r>
                  <w:r w:rsidR="00D75D4B">
                    <w:rPr>
                      <w:rFonts w:cs="Times New Roman"/>
                      <w:i/>
                      <w:sz w:val="24"/>
                      <w:szCs w:val="24"/>
                      <w:lang w:eastAsia="zh-TW" w:bidi="ar-SA"/>
                    </w:rPr>
                    <w:t xml:space="preserve"> </w:t>
                  </w:r>
                  <w:r w:rsidR="00EC7EA3" w:rsidRPr="00E352CC">
                    <w:rPr>
                      <w:rFonts w:cs="Times New Roman"/>
                      <w:i/>
                      <w:sz w:val="24"/>
                      <w:szCs w:val="24"/>
                      <w:lang w:eastAsia="zh-TW" w:bidi="ar-SA"/>
                    </w:rPr>
                    <w:t>2017.</w:t>
                  </w:r>
                  <w:r w:rsidR="00950BD5">
                    <w:rPr>
                      <w:rFonts w:cs="Times New Roman"/>
                      <w:i/>
                      <w:sz w:val="24"/>
                      <w:szCs w:val="24"/>
                      <w:lang w:eastAsia="zh-TW" w:bidi="ar-SA"/>
                    </w:rPr>
                    <w:t> </w:t>
                  </w:r>
                  <w:r w:rsidR="00EC7EA3" w:rsidRPr="00E352CC">
                    <w:rPr>
                      <w:rFonts w:cs="Times New Roman"/>
                      <w:i/>
                      <w:sz w:val="24"/>
                      <w:szCs w:val="24"/>
                      <w:lang w:eastAsia="zh-TW" w:bidi="ar-SA"/>
                    </w:rPr>
                    <w:t>gadā un tās būs</w:t>
                  </w:r>
                  <w:r w:rsidR="00950BD5">
                    <w:rPr>
                      <w:rFonts w:cs="Times New Roman"/>
                      <w:i/>
                      <w:sz w:val="24"/>
                      <w:szCs w:val="24"/>
                      <w:lang w:eastAsia="zh-TW" w:bidi="ar-SA"/>
                    </w:rPr>
                    <w:t>:</w:t>
                  </w:r>
                  <w:r w:rsidR="00EC7EA3" w:rsidRPr="00E352CC">
                    <w:rPr>
                      <w:rFonts w:cs="Times New Roman"/>
                      <w:i/>
                      <w:sz w:val="24"/>
                      <w:szCs w:val="24"/>
                      <w:lang w:eastAsia="zh-TW" w:bidi="ar-SA"/>
                    </w:rPr>
                    <w:t xml:space="preserve"> 2x 12x 155,1 =3 722,4 </w:t>
                  </w:r>
                  <w:proofErr w:type="spellStart"/>
                  <w:r w:rsidR="00EC7EA3" w:rsidRPr="00E352CC">
                    <w:rPr>
                      <w:rFonts w:cs="Times New Roman"/>
                      <w:i/>
                      <w:sz w:val="24"/>
                      <w:szCs w:val="24"/>
                      <w:lang w:eastAsia="zh-TW" w:bidi="ar-SA"/>
                    </w:rPr>
                    <w:t>euro</w:t>
                  </w:r>
                  <w:proofErr w:type="spellEnd"/>
                  <w:r w:rsidR="00766928">
                    <w:rPr>
                      <w:rFonts w:cs="Times New Roman"/>
                      <w:i/>
                      <w:sz w:val="24"/>
                      <w:szCs w:val="24"/>
                      <w:lang w:eastAsia="zh-TW" w:bidi="ar-SA"/>
                    </w:rPr>
                    <w:t xml:space="preserve"> gadā.</w:t>
                  </w:r>
                </w:p>
                <w:p w:rsidR="00D702ED" w:rsidRPr="00FD7278" w:rsidRDefault="00D702ED" w:rsidP="00D702ED">
                  <w:pPr>
                    <w:jc w:val="both"/>
                    <w:rPr>
                      <w:rFonts w:cs="Times New Roman"/>
                      <w:i/>
                      <w:sz w:val="24"/>
                      <w:szCs w:val="24"/>
                    </w:rPr>
                  </w:pPr>
                </w:p>
                <w:p w:rsidR="00D702ED" w:rsidRPr="00FD7278" w:rsidRDefault="00D702ED" w:rsidP="00D702ED">
                  <w:pPr>
                    <w:pStyle w:val="ListParagraph"/>
                    <w:ind w:left="480"/>
                    <w:jc w:val="both"/>
                    <w:rPr>
                      <w:rFonts w:cs="Times New Roman"/>
                      <w:b/>
                      <w:i/>
                      <w:sz w:val="24"/>
                      <w:szCs w:val="24"/>
                    </w:rPr>
                  </w:pPr>
                  <w:r w:rsidRPr="00FD7278">
                    <w:rPr>
                      <w:rFonts w:cs="Times New Roman"/>
                      <w:b/>
                      <w:i/>
                      <w:sz w:val="24"/>
                      <w:szCs w:val="24"/>
                    </w:rPr>
                    <w:t>2.piemērs:</w:t>
                  </w:r>
                </w:p>
                <w:p w:rsidR="00D702ED" w:rsidRPr="00D75D4B" w:rsidRDefault="00D702ED" w:rsidP="00D702ED">
                  <w:pPr>
                    <w:ind w:left="120"/>
                    <w:jc w:val="both"/>
                    <w:rPr>
                      <w:rFonts w:cs="Times New Roman"/>
                      <w:sz w:val="24"/>
                      <w:szCs w:val="24"/>
                    </w:rPr>
                  </w:pPr>
                  <w:r w:rsidRPr="00D75D4B">
                    <w:rPr>
                      <w:rFonts w:cs="Times New Roman"/>
                      <w:sz w:val="24"/>
                      <w:szCs w:val="24"/>
                    </w:rPr>
                    <w:t xml:space="preserve"> Izdienas pensijas pārrēķina piemērs:</w:t>
                  </w:r>
                </w:p>
                <w:p w:rsidR="00D702ED" w:rsidRPr="00E352CC" w:rsidRDefault="00D702ED" w:rsidP="00D702ED">
                  <w:pPr>
                    <w:jc w:val="both"/>
                    <w:rPr>
                      <w:rFonts w:cs="Times New Roman"/>
                      <w:i/>
                      <w:sz w:val="24"/>
                      <w:szCs w:val="24"/>
                    </w:rPr>
                  </w:pPr>
                  <w:r w:rsidRPr="0092177D">
                    <w:rPr>
                      <w:rFonts w:cs="Times New Roman"/>
                      <w:sz w:val="24"/>
                      <w:szCs w:val="24"/>
                    </w:rPr>
                    <w:t xml:space="preserve"> </w:t>
                  </w:r>
                  <w:r w:rsidRPr="0092177D">
                    <w:rPr>
                      <w:rFonts w:cs="Times New Roman"/>
                      <w:i/>
                      <w:sz w:val="24"/>
                      <w:szCs w:val="24"/>
                    </w:rPr>
                    <w:t>Karavīram piešķirtā izdienas pensija bija 62% apmērā no vidējā dienesta atalgojuma par pēdējiem pieciem gadiem pirms atvaļinā</w:t>
                  </w:r>
                  <w:r w:rsidRPr="00C74485">
                    <w:rPr>
                      <w:rFonts w:cs="Times New Roman"/>
                      <w:i/>
                      <w:sz w:val="24"/>
                      <w:szCs w:val="24"/>
                    </w:rPr>
                    <w:t xml:space="preserve">šanas 613,91 </w:t>
                  </w:r>
                  <w:proofErr w:type="spellStart"/>
                  <w:r w:rsidRPr="00C74485">
                    <w:rPr>
                      <w:rFonts w:cs="Times New Roman"/>
                      <w:i/>
                      <w:sz w:val="24"/>
                      <w:szCs w:val="24"/>
                    </w:rPr>
                    <w:t>euro</w:t>
                  </w:r>
                  <w:proofErr w:type="spellEnd"/>
                  <w:r w:rsidRPr="00C74485">
                    <w:rPr>
                      <w:rFonts w:cs="Times New Roman"/>
                      <w:i/>
                      <w:sz w:val="24"/>
                      <w:szCs w:val="24"/>
                    </w:rPr>
                    <w:t xml:space="preserve">, kas ir </w:t>
                  </w:r>
                  <w:r w:rsidRPr="00F31852">
                    <w:rPr>
                      <w:rFonts w:cs="Times New Roman"/>
                      <w:b/>
                      <w:i/>
                      <w:sz w:val="24"/>
                      <w:szCs w:val="24"/>
                    </w:rPr>
                    <w:t xml:space="preserve">380,63 </w:t>
                  </w:r>
                  <w:proofErr w:type="spellStart"/>
                  <w:r w:rsidRPr="00F31852">
                    <w:rPr>
                      <w:rFonts w:cs="Times New Roman"/>
                      <w:b/>
                      <w:i/>
                      <w:sz w:val="24"/>
                      <w:szCs w:val="24"/>
                    </w:rPr>
                    <w:t>euro</w:t>
                  </w:r>
                  <w:proofErr w:type="spellEnd"/>
                  <w:r w:rsidRPr="00F31852">
                    <w:rPr>
                      <w:rFonts w:cs="Times New Roman"/>
                      <w:b/>
                      <w:i/>
                      <w:sz w:val="24"/>
                      <w:szCs w:val="24"/>
                    </w:rPr>
                    <w:t>.</w:t>
                  </w:r>
                  <w:r w:rsidRPr="00E352CC">
                    <w:rPr>
                      <w:rFonts w:cs="Times New Roman"/>
                      <w:i/>
                      <w:sz w:val="24"/>
                      <w:szCs w:val="24"/>
                    </w:rPr>
                    <w:t xml:space="preserve">  </w:t>
                  </w:r>
                </w:p>
                <w:p w:rsidR="00D702ED" w:rsidRPr="00E352CC" w:rsidRDefault="00D702ED" w:rsidP="00D702ED">
                  <w:pPr>
                    <w:jc w:val="both"/>
                    <w:rPr>
                      <w:rFonts w:cs="Times New Roman"/>
                      <w:i/>
                      <w:sz w:val="24"/>
                      <w:szCs w:val="24"/>
                    </w:rPr>
                  </w:pPr>
                  <w:r w:rsidRPr="00E352CC">
                    <w:rPr>
                      <w:rFonts w:cs="Times New Roman"/>
                      <w:i/>
                      <w:sz w:val="24"/>
                      <w:szCs w:val="24"/>
                    </w:rPr>
                    <w:t>Viņš no jauna tiek pieņemts profesionālajā dienestā, nodien trīs gadus un tiek atvaļināts.</w:t>
                  </w:r>
                </w:p>
                <w:p w:rsidR="00D702ED" w:rsidRPr="00E352CC" w:rsidRDefault="00D702ED" w:rsidP="00D702ED">
                  <w:pPr>
                    <w:jc w:val="both"/>
                    <w:rPr>
                      <w:rFonts w:cs="Times New Roman"/>
                      <w:i/>
                      <w:sz w:val="24"/>
                      <w:szCs w:val="24"/>
                    </w:rPr>
                  </w:pPr>
                  <w:r w:rsidRPr="00E352CC">
                    <w:rPr>
                      <w:rFonts w:cs="Times New Roman"/>
                      <w:i/>
                      <w:sz w:val="24"/>
                      <w:szCs w:val="24"/>
                    </w:rPr>
                    <w:t>Izdienas pensija tiek pārrēķināta šādi:</w:t>
                  </w:r>
                </w:p>
                <w:p w:rsidR="00D702ED" w:rsidRPr="00E352CC" w:rsidRDefault="00D702ED" w:rsidP="00D702ED">
                  <w:pPr>
                    <w:pStyle w:val="ListParagraph"/>
                    <w:numPr>
                      <w:ilvl w:val="0"/>
                      <w:numId w:val="5"/>
                    </w:numPr>
                    <w:jc w:val="both"/>
                    <w:rPr>
                      <w:rFonts w:cs="Times New Roman"/>
                      <w:i/>
                      <w:sz w:val="24"/>
                      <w:szCs w:val="24"/>
                    </w:rPr>
                  </w:pPr>
                  <w:r w:rsidRPr="00E352CC">
                    <w:rPr>
                      <w:rFonts w:cs="Times New Roman"/>
                      <w:i/>
                      <w:sz w:val="24"/>
                      <w:szCs w:val="24"/>
                    </w:rPr>
                    <w:t>Par katru no jauna nodienēto gadu 2% no vidējā dienesta atalgojuma, t.i., 3 gadi x 2% = 6%</w:t>
                  </w:r>
                  <w:r w:rsidRPr="00E352CC">
                    <w:rPr>
                      <w:rFonts w:cs="Times New Roman"/>
                      <w:sz w:val="24"/>
                      <w:szCs w:val="24"/>
                    </w:rPr>
                    <w:t>.</w:t>
                  </w:r>
                </w:p>
                <w:p w:rsidR="00D702ED" w:rsidRPr="00E352CC" w:rsidRDefault="00D702ED" w:rsidP="00D702ED">
                  <w:pPr>
                    <w:pStyle w:val="ListParagraph"/>
                    <w:numPr>
                      <w:ilvl w:val="0"/>
                      <w:numId w:val="5"/>
                    </w:numPr>
                    <w:jc w:val="both"/>
                    <w:rPr>
                      <w:rFonts w:cs="Times New Roman"/>
                      <w:i/>
                      <w:sz w:val="24"/>
                      <w:szCs w:val="24"/>
                    </w:rPr>
                  </w:pPr>
                  <w:r w:rsidRPr="00E352CC">
                    <w:rPr>
                      <w:rFonts w:cs="Times New Roman"/>
                      <w:i/>
                      <w:sz w:val="24"/>
                      <w:szCs w:val="24"/>
                    </w:rPr>
                    <w:t>Vidējais atalgojums par pēdējiem</w:t>
                  </w:r>
                  <w:r w:rsidR="00EC7EA3" w:rsidRPr="00E352CC">
                    <w:rPr>
                      <w:rFonts w:cs="Times New Roman"/>
                      <w:i/>
                      <w:sz w:val="24"/>
                      <w:szCs w:val="24"/>
                    </w:rPr>
                    <w:t xml:space="preserve"> pieciem</w:t>
                  </w:r>
                  <w:r w:rsidRPr="00E352CC">
                    <w:rPr>
                      <w:rFonts w:cs="Times New Roman"/>
                      <w:i/>
                      <w:sz w:val="24"/>
                      <w:szCs w:val="24"/>
                    </w:rPr>
                    <w:t xml:space="preserve"> gadiem, ir 741,00 </w:t>
                  </w:r>
                  <w:proofErr w:type="spellStart"/>
                  <w:r w:rsidRPr="00E352CC">
                    <w:rPr>
                      <w:rFonts w:cs="Times New Roman"/>
                      <w:i/>
                      <w:sz w:val="24"/>
                      <w:szCs w:val="24"/>
                    </w:rPr>
                    <w:t>euro</w:t>
                  </w:r>
                  <w:proofErr w:type="spellEnd"/>
                  <w:r w:rsidRPr="00E352CC">
                    <w:rPr>
                      <w:rFonts w:cs="Times New Roman"/>
                      <w:i/>
                      <w:sz w:val="24"/>
                      <w:szCs w:val="24"/>
                    </w:rPr>
                    <w:t>.</w:t>
                  </w:r>
                </w:p>
                <w:p w:rsidR="00D702ED" w:rsidRPr="00E352CC" w:rsidRDefault="00D702ED" w:rsidP="00D702ED">
                  <w:pPr>
                    <w:pStyle w:val="ListParagraph"/>
                    <w:numPr>
                      <w:ilvl w:val="0"/>
                      <w:numId w:val="5"/>
                    </w:numPr>
                    <w:jc w:val="both"/>
                    <w:rPr>
                      <w:rFonts w:cs="Times New Roman"/>
                      <w:i/>
                      <w:sz w:val="24"/>
                      <w:szCs w:val="24"/>
                    </w:rPr>
                  </w:pPr>
                  <w:r w:rsidRPr="00E352CC">
                    <w:rPr>
                      <w:rFonts w:cs="Times New Roman"/>
                      <w:i/>
                      <w:sz w:val="24"/>
                      <w:szCs w:val="24"/>
                    </w:rPr>
                    <w:t xml:space="preserve">6% no 741,00 </w:t>
                  </w:r>
                  <w:proofErr w:type="spellStart"/>
                  <w:r w:rsidRPr="00E352CC">
                    <w:rPr>
                      <w:rFonts w:cs="Times New Roman"/>
                      <w:i/>
                      <w:sz w:val="24"/>
                      <w:szCs w:val="24"/>
                    </w:rPr>
                    <w:t>euro</w:t>
                  </w:r>
                  <w:proofErr w:type="spellEnd"/>
                  <w:r w:rsidRPr="00E352CC">
                    <w:rPr>
                      <w:rFonts w:cs="Times New Roman"/>
                      <w:i/>
                      <w:sz w:val="24"/>
                      <w:szCs w:val="24"/>
                    </w:rPr>
                    <w:t xml:space="preserve"> ir 44,46 </w:t>
                  </w:r>
                  <w:proofErr w:type="spellStart"/>
                  <w:r w:rsidRPr="00E352CC">
                    <w:rPr>
                      <w:rFonts w:cs="Times New Roman"/>
                      <w:i/>
                      <w:sz w:val="24"/>
                      <w:szCs w:val="24"/>
                    </w:rPr>
                    <w:t>euro</w:t>
                  </w:r>
                  <w:proofErr w:type="spellEnd"/>
                  <w:r w:rsidRPr="00E352CC">
                    <w:rPr>
                      <w:rFonts w:cs="Times New Roman"/>
                      <w:i/>
                      <w:sz w:val="24"/>
                      <w:szCs w:val="24"/>
                    </w:rPr>
                    <w:t>.</w:t>
                  </w:r>
                </w:p>
                <w:p w:rsidR="00D702ED" w:rsidRPr="00E352CC" w:rsidRDefault="00D702ED" w:rsidP="00D702ED">
                  <w:pPr>
                    <w:pStyle w:val="ListParagraph"/>
                    <w:numPr>
                      <w:ilvl w:val="0"/>
                      <w:numId w:val="5"/>
                    </w:numPr>
                    <w:jc w:val="both"/>
                    <w:rPr>
                      <w:rFonts w:cs="Times New Roman"/>
                      <w:i/>
                      <w:sz w:val="24"/>
                      <w:szCs w:val="24"/>
                    </w:rPr>
                  </w:pPr>
                  <w:r w:rsidRPr="00E352CC">
                    <w:rPr>
                      <w:rFonts w:cs="Times New Roman"/>
                      <w:i/>
                      <w:sz w:val="24"/>
                      <w:szCs w:val="24"/>
                    </w:rPr>
                    <w:t xml:space="preserve">Pārrēķinātā izdienas pensija 380,63 </w:t>
                  </w:r>
                  <w:proofErr w:type="spellStart"/>
                  <w:r w:rsidRPr="00E352CC">
                    <w:rPr>
                      <w:rFonts w:cs="Times New Roman"/>
                      <w:i/>
                      <w:sz w:val="24"/>
                      <w:szCs w:val="24"/>
                    </w:rPr>
                    <w:t>euro</w:t>
                  </w:r>
                  <w:proofErr w:type="spellEnd"/>
                  <w:r w:rsidRPr="00E352CC">
                    <w:rPr>
                      <w:rFonts w:cs="Times New Roman"/>
                      <w:i/>
                      <w:sz w:val="24"/>
                      <w:szCs w:val="24"/>
                    </w:rPr>
                    <w:t xml:space="preserve"> + 44,46 </w:t>
                  </w:r>
                  <w:proofErr w:type="spellStart"/>
                  <w:r w:rsidRPr="00E352CC">
                    <w:rPr>
                      <w:rFonts w:cs="Times New Roman"/>
                      <w:i/>
                      <w:sz w:val="24"/>
                      <w:szCs w:val="24"/>
                    </w:rPr>
                    <w:t>euro</w:t>
                  </w:r>
                  <w:proofErr w:type="spellEnd"/>
                  <w:r w:rsidRPr="00E352CC">
                    <w:rPr>
                      <w:rFonts w:cs="Times New Roman"/>
                      <w:i/>
                      <w:sz w:val="24"/>
                      <w:szCs w:val="24"/>
                    </w:rPr>
                    <w:t xml:space="preserve"> = 425,09 </w:t>
                  </w:r>
                  <w:proofErr w:type="spellStart"/>
                  <w:r w:rsidRPr="00E352CC">
                    <w:rPr>
                      <w:rFonts w:cs="Times New Roman"/>
                      <w:i/>
                      <w:sz w:val="24"/>
                      <w:szCs w:val="24"/>
                    </w:rPr>
                    <w:t>euro</w:t>
                  </w:r>
                  <w:proofErr w:type="spellEnd"/>
                  <w:r w:rsidRPr="00E352CC">
                    <w:rPr>
                      <w:rFonts w:cs="Times New Roman"/>
                      <w:i/>
                      <w:sz w:val="24"/>
                      <w:szCs w:val="24"/>
                    </w:rPr>
                    <w:t>.</w:t>
                  </w:r>
                </w:p>
                <w:p w:rsidR="001064F6" w:rsidRPr="00E352CC" w:rsidRDefault="001064F6" w:rsidP="001064F6">
                  <w:pPr>
                    <w:autoSpaceDE w:val="0"/>
                    <w:autoSpaceDN w:val="0"/>
                    <w:adjustRightInd w:val="0"/>
                    <w:jc w:val="both"/>
                    <w:rPr>
                      <w:rFonts w:cs="Times New Roman"/>
                      <w:i/>
                      <w:sz w:val="24"/>
                      <w:szCs w:val="24"/>
                      <w:lang w:eastAsia="lv-LV" w:bidi="ar-SA"/>
                    </w:rPr>
                  </w:pPr>
                  <w:r w:rsidRPr="00FD7278">
                    <w:rPr>
                      <w:rFonts w:cs="Times New Roman"/>
                      <w:bCs/>
                      <w:i/>
                      <w:sz w:val="24"/>
                      <w:szCs w:val="24"/>
                      <w:lang w:eastAsia="zh-TW" w:bidi="ar-SA"/>
                    </w:rPr>
                    <w:t xml:space="preserve">Izdienas pensijas saņēmējam, kurš no jauna uzsāks dienestu (atgriezīsies dienestā) </w:t>
                  </w:r>
                  <w:r w:rsidRPr="00FD7278">
                    <w:rPr>
                      <w:rFonts w:cs="Times New Roman"/>
                      <w:i/>
                      <w:sz w:val="24"/>
                      <w:szCs w:val="24"/>
                      <w:lang w:eastAsia="lv-LV" w:bidi="ar-SA"/>
                    </w:rPr>
                    <w:t>NBS regulāro spēku vienībā</w:t>
                  </w:r>
                  <w:r w:rsidRPr="00FD7278">
                    <w:rPr>
                      <w:rFonts w:cs="Times New Roman"/>
                      <w:i/>
                      <w:sz w:val="24"/>
                      <w:szCs w:val="24"/>
                      <w:lang w:eastAsia="zh-TW" w:bidi="ar-SA"/>
                    </w:rPr>
                    <w:t>, izdienas pensijas izmaksa uz dienesta laiku tiks pārtraukts, līdz ar to tiks ietaupīti</w:t>
                  </w:r>
                  <w:r w:rsidRPr="00D75D4B">
                    <w:rPr>
                      <w:rFonts w:cs="Times New Roman"/>
                      <w:i/>
                      <w:sz w:val="24"/>
                      <w:szCs w:val="24"/>
                      <w:lang w:eastAsia="zh-TW" w:bidi="ar-SA"/>
                    </w:rPr>
                    <w:t xml:space="preserve"> 3</w:t>
                  </w:r>
                  <w:r w:rsidR="00950BD5">
                    <w:rPr>
                      <w:rFonts w:cs="Times New Roman"/>
                      <w:i/>
                      <w:sz w:val="24"/>
                      <w:szCs w:val="24"/>
                      <w:lang w:eastAsia="zh-TW" w:bidi="ar-SA"/>
                    </w:rPr>
                    <w:t xml:space="preserve"> </w:t>
                  </w:r>
                  <w:r w:rsidRPr="00D75D4B">
                    <w:rPr>
                      <w:rFonts w:cs="Times New Roman"/>
                      <w:i/>
                      <w:sz w:val="24"/>
                      <w:szCs w:val="24"/>
                      <w:lang w:eastAsia="zh-TW" w:bidi="ar-SA"/>
                    </w:rPr>
                    <w:t>gadi x 12 mēneši x 380,63</w:t>
                  </w:r>
                  <w:r w:rsidR="00950BD5">
                    <w:rPr>
                      <w:rFonts w:cs="Times New Roman"/>
                      <w:i/>
                      <w:sz w:val="24"/>
                      <w:szCs w:val="24"/>
                      <w:lang w:eastAsia="zh-TW" w:bidi="ar-SA"/>
                    </w:rPr>
                    <w:t> </w:t>
                  </w:r>
                  <w:proofErr w:type="spellStart"/>
                  <w:r w:rsidRPr="00D75D4B">
                    <w:rPr>
                      <w:rFonts w:cs="Times New Roman"/>
                      <w:i/>
                      <w:sz w:val="24"/>
                      <w:szCs w:val="24"/>
                      <w:lang w:eastAsia="zh-TW" w:bidi="ar-SA"/>
                    </w:rPr>
                    <w:t>euro</w:t>
                  </w:r>
                  <w:proofErr w:type="spellEnd"/>
                  <w:r w:rsidRPr="00D75D4B">
                    <w:rPr>
                      <w:rFonts w:cs="Times New Roman"/>
                      <w:i/>
                      <w:sz w:val="24"/>
                      <w:szCs w:val="24"/>
                      <w:lang w:eastAsia="zh-TW" w:bidi="ar-SA"/>
                    </w:rPr>
                    <w:t xml:space="preserve"> = 3gadi x 4567,56</w:t>
                  </w:r>
                  <w:r w:rsidR="00950BD5">
                    <w:rPr>
                      <w:rFonts w:cs="Times New Roman"/>
                      <w:i/>
                      <w:sz w:val="24"/>
                      <w:szCs w:val="24"/>
                      <w:lang w:eastAsia="zh-TW" w:bidi="ar-SA"/>
                    </w:rPr>
                    <w:t> </w:t>
                  </w:r>
                  <w:proofErr w:type="spellStart"/>
                  <w:r w:rsidRPr="00D75D4B">
                    <w:rPr>
                      <w:rFonts w:cs="Times New Roman"/>
                      <w:i/>
                      <w:sz w:val="24"/>
                      <w:szCs w:val="24"/>
                      <w:lang w:eastAsia="zh-TW" w:bidi="ar-SA"/>
                    </w:rPr>
                    <w:t>euro</w:t>
                  </w:r>
                  <w:proofErr w:type="spellEnd"/>
                  <w:r w:rsidRPr="00D75D4B">
                    <w:rPr>
                      <w:rFonts w:cs="Times New Roman"/>
                      <w:i/>
                      <w:sz w:val="24"/>
                      <w:szCs w:val="24"/>
                      <w:lang w:eastAsia="zh-TW" w:bidi="ar-SA"/>
                    </w:rPr>
                    <w:t xml:space="preserve"> = </w:t>
                  </w:r>
                  <w:r w:rsidRPr="00D75D4B">
                    <w:rPr>
                      <w:rFonts w:cs="Times New Roman"/>
                      <w:b/>
                      <w:i/>
                      <w:sz w:val="24"/>
                      <w:szCs w:val="24"/>
                      <w:lang w:eastAsia="zh-TW" w:bidi="ar-SA"/>
                    </w:rPr>
                    <w:t xml:space="preserve">24502,68 </w:t>
                  </w:r>
                  <w:proofErr w:type="spellStart"/>
                  <w:r w:rsidRPr="00D75D4B">
                    <w:rPr>
                      <w:rFonts w:cs="Times New Roman"/>
                      <w:b/>
                      <w:i/>
                      <w:sz w:val="24"/>
                      <w:szCs w:val="24"/>
                      <w:lang w:eastAsia="zh-TW" w:bidi="ar-SA"/>
                    </w:rPr>
                    <w:t>euro</w:t>
                  </w:r>
                  <w:proofErr w:type="spellEnd"/>
                  <w:r w:rsidRPr="0092177D">
                    <w:rPr>
                      <w:rFonts w:cs="Times New Roman"/>
                      <w:i/>
                      <w:sz w:val="24"/>
                      <w:szCs w:val="24"/>
                      <w:lang w:eastAsia="zh-TW" w:bidi="ar-SA"/>
                    </w:rPr>
                    <w:t xml:space="preserve">. līdzekļi izdienas pensiju fondā, šai laikā </w:t>
                  </w:r>
                  <w:r w:rsidRPr="00950BD5">
                    <w:rPr>
                      <w:rFonts w:cs="Times New Roman"/>
                      <w:i/>
                      <w:sz w:val="24"/>
                      <w:szCs w:val="24"/>
                      <w:lang w:eastAsia="zh-TW" w:bidi="ar-SA"/>
                    </w:rPr>
                    <w:t>NBS papildus līdzekļi nav nepieciešami, jo aizpildīta vakantā štata vieta.</w:t>
                  </w:r>
                  <w:r w:rsidRPr="00950BD5">
                    <w:rPr>
                      <w:rFonts w:cs="Times New Roman"/>
                      <w:sz w:val="24"/>
                      <w:szCs w:val="24"/>
                      <w:lang w:eastAsia="zh-TW" w:bidi="ar-SA"/>
                    </w:rPr>
                    <w:t xml:space="preserve"> Gadā viens izdienas pensionārs kurš iestājas dienestā dos vidēji 4567,56</w:t>
                  </w:r>
                  <w:r w:rsidR="00950BD5">
                    <w:rPr>
                      <w:rFonts w:cs="Times New Roman"/>
                      <w:sz w:val="24"/>
                      <w:szCs w:val="24"/>
                      <w:lang w:eastAsia="zh-TW" w:bidi="ar-SA"/>
                    </w:rPr>
                    <w:t> </w:t>
                  </w:r>
                  <w:proofErr w:type="spellStart"/>
                  <w:r w:rsidRPr="00E352CC">
                    <w:rPr>
                      <w:rFonts w:cs="Times New Roman"/>
                      <w:i/>
                      <w:sz w:val="24"/>
                      <w:szCs w:val="24"/>
                      <w:lang w:eastAsia="zh-TW" w:bidi="ar-SA"/>
                    </w:rPr>
                    <w:t>euro</w:t>
                  </w:r>
                  <w:proofErr w:type="spellEnd"/>
                  <w:r w:rsidRPr="00950BD5">
                    <w:rPr>
                      <w:rFonts w:cs="Times New Roman"/>
                      <w:sz w:val="24"/>
                      <w:szCs w:val="24"/>
                      <w:lang w:eastAsia="zh-TW" w:bidi="ar-SA"/>
                    </w:rPr>
                    <w:t xml:space="preserve"> ietaupījumu, kas pilnībā kompensēs likumprojektā paredzēto 15% izdienas pensijas palielinājumu karavīriem, kuri nodienējuši 25 gadus.  </w:t>
                  </w:r>
                </w:p>
                <w:p w:rsidR="00D702ED" w:rsidRPr="00F31852" w:rsidRDefault="001064F6" w:rsidP="001064F6">
                  <w:pPr>
                    <w:jc w:val="both"/>
                    <w:rPr>
                      <w:rFonts w:cs="Times New Roman"/>
                      <w:i/>
                      <w:sz w:val="24"/>
                      <w:szCs w:val="24"/>
                    </w:rPr>
                  </w:pPr>
                  <w:r w:rsidRPr="00C74485">
                    <w:rPr>
                      <w:rFonts w:cs="Times New Roman"/>
                      <w:sz w:val="24"/>
                      <w:szCs w:val="24"/>
                      <w:lang w:eastAsia="zh-TW" w:bidi="ar-SA"/>
                    </w:rPr>
                    <w:t xml:space="preserve">Ietaupīto naudu 24502,68 </w:t>
                  </w:r>
                  <w:proofErr w:type="spellStart"/>
                  <w:r w:rsidRPr="00C74485">
                    <w:rPr>
                      <w:rFonts w:cs="Times New Roman"/>
                      <w:i/>
                      <w:sz w:val="24"/>
                      <w:szCs w:val="24"/>
                      <w:lang w:eastAsia="zh-TW" w:bidi="ar-SA"/>
                    </w:rPr>
                    <w:t>euro</w:t>
                  </w:r>
                  <w:proofErr w:type="spellEnd"/>
                  <w:r w:rsidRPr="00C74485">
                    <w:rPr>
                      <w:rFonts w:cs="Times New Roman"/>
                      <w:sz w:val="24"/>
                      <w:szCs w:val="24"/>
                      <w:lang w:eastAsia="zh-TW" w:bidi="ar-SA"/>
                    </w:rPr>
                    <w:t xml:space="preserve"> dalot ar izdienas pensijas pieaugumu mēnesī, kas piemērā bija 44,46 </w:t>
                  </w:r>
                  <w:proofErr w:type="spellStart"/>
                  <w:r w:rsidRPr="00FD7278">
                    <w:rPr>
                      <w:rFonts w:cs="Times New Roman"/>
                      <w:i/>
                      <w:sz w:val="24"/>
                      <w:szCs w:val="24"/>
                      <w:lang w:eastAsia="zh-TW" w:bidi="ar-SA"/>
                    </w:rPr>
                    <w:t>euro</w:t>
                  </w:r>
                  <w:proofErr w:type="spellEnd"/>
                  <w:r w:rsidRPr="00FD7278">
                    <w:rPr>
                      <w:rFonts w:cs="Times New Roman"/>
                      <w:i/>
                      <w:sz w:val="24"/>
                      <w:szCs w:val="24"/>
                      <w:lang w:eastAsia="zh-TW" w:bidi="ar-SA"/>
                    </w:rPr>
                    <w:t xml:space="preserve"> </w:t>
                  </w:r>
                  <w:r w:rsidRPr="00FD7278">
                    <w:rPr>
                      <w:rFonts w:cs="Times New Roman"/>
                      <w:sz w:val="24"/>
                      <w:szCs w:val="24"/>
                      <w:lang w:eastAsia="zh-TW" w:bidi="ar-SA"/>
                    </w:rPr>
                    <w:t xml:space="preserve">iegūstam, ka papildus līdzekļi </w:t>
                  </w:r>
                  <w:r w:rsidRPr="00FD7278">
                    <w:rPr>
                      <w:rFonts w:cs="Times New Roman"/>
                      <w:sz w:val="24"/>
                      <w:szCs w:val="24"/>
                      <w:lang w:eastAsia="zh-TW" w:bidi="ar-SA"/>
                    </w:rPr>
                    <w:lastRenderedPageBreak/>
                    <w:t xml:space="preserve">paaugstinātās izdienas pensijas izmaksai būs nepieciešami tikai pēc 550 mēnešiem, jeb </w:t>
                  </w:r>
                  <w:r w:rsidRPr="00FD7278">
                    <w:rPr>
                      <w:rFonts w:cs="Times New Roman"/>
                      <w:b/>
                      <w:sz w:val="24"/>
                      <w:szCs w:val="24"/>
                      <w:lang w:eastAsia="zh-TW" w:bidi="ar-SA"/>
                    </w:rPr>
                    <w:t>45 gadiem</w:t>
                  </w:r>
                  <w:r w:rsidRPr="00FD7278">
                    <w:rPr>
                      <w:rFonts w:cs="Times New Roman"/>
                      <w:i/>
                      <w:sz w:val="24"/>
                      <w:szCs w:val="24"/>
                      <w:lang w:eastAsia="zh-TW" w:bidi="ar-SA"/>
                    </w:rPr>
                    <w:t xml:space="preserve">. </w:t>
                  </w:r>
                  <w:r w:rsidRPr="00FD7278">
                    <w:rPr>
                      <w:rFonts w:cs="Times New Roman"/>
                      <w:sz w:val="24"/>
                      <w:szCs w:val="24"/>
                      <w:lang w:eastAsia="zh-TW" w:bidi="ar-SA"/>
                    </w:rPr>
                    <w:t>Tā kā šai laikā karavīrs jau būs sasniedzis arī valsts vecuma pensijas vecumu, tad Aizsardzības ministrijai faktiski papildus līdzekļi sagatavotās likuma normas ieviešanai nav nepieciešami.</w:t>
                  </w:r>
                  <w:r w:rsidR="00766928">
                    <w:rPr>
                      <w:rFonts w:cs="Times New Roman"/>
                      <w:sz w:val="24"/>
                      <w:szCs w:val="24"/>
                      <w:lang w:eastAsia="zh-TW" w:bidi="ar-SA"/>
                    </w:rPr>
                    <w:t xml:space="preserve"> Vēršam uzmanību, ka atkārtotā dienesta laikā tiks maksāts arī sociālais nodoklis, līdz ar ko pieaugs arī valsts vecuma pensijas apmērs, tas savukārt samazinās AM potenciālās izmaksas.</w:t>
                  </w:r>
                </w:p>
                <w:p w:rsidR="00D702ED" w:rsidRPr="00E352CC" w:rsidRDefault="00D702ED">
                  <w:pPr>
                    <w:rPr>
                      <w:rFonts w:cs="Times New Roman"/>
                      <w:sz w:val="24"/>
                      <w:szCs w:val="24"/>
                      <w:lang w:eastAsia="lv-LV" w:bidi="ar-SA"/>
                    </w:rPr>
                  </w:pPr>
                </w:p>
              </w:tc>
            </w:tr>
            <w:tr w:rsidR="00FD7278" w:rsidRPr="00FD7278" w:rsidTr="000D47A5">
              <w:trPr>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D702ED" w:rsidRPr="00E352CC" w:rsidRDefault="00D702ED">
                  <w:pPr>
                    <w:rPr>
                      <w:rFonts w:cs="Times New Roman"/>
                      <w:sz w:val="24"/>
                      <w:szCs w:val="24"/>
                      <w:lang w:eastAsia="lv-LV"/>
                    </w:rPr>
                  </w:pPr>
                  <w:r w:rsidRPr="00E352CC">
                    <w:rPr>
                      <w:rFonts w:cs="Times New Roman"/>
                      <w:sz w:val="24"/>
                      <w:szCs w:val="24"/>
                      <w:lang w:eastAsia="lv-LV"/>
                    </w:rPr>
                    <w:t>6.1. detalizēts ieņēmumu aprēķins</w:t>
                  </w:r>
                </w:p>
              </w:tc>
              <w:tc>
                <w:tcPr>
                  <w:tcW w:w="7441" w:type="dxa"/>
                  <w:gridSpan w:val="5"/>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bidi="ar-SA"/>
                    </w:rPr>
                  </w:pPr>
                </w:p>
              </w:tc>
            </w:tr>
            <w:tr w:rsidR="00FD7278" w:rsidRPr="00FD7278" w:rsidTr="000D47A5">
              <w:trPr>
                <w:trHeight w:val="1067"/>
                <w:tblCellSpacing w:w="15" w:type="dxa"/>
                <w:jc w:val="center"/>
              </w:trPr>
              <w:tc>
                <w:tcPr>
                  <w:tcW w:w="2529" w:type="dxa"/>
                  <w:tcBorders>
                    <w:top w:val="outset" w:sz="6" w:space="0" w:color="auto"/>
                    <w:left w:val="outset" w:sz="6" w:space="0" w:color="auto"/>
                    <w:bottom w:val="outset" w:sz="6" w:space="0" w:color="auto"/>
                    <w:right w:val="outset" w:sz="6" w:space="0" w:color="auto"/>
                  </w:tcBorders>
                </w:tcPr>
                <w:p w:rsidR="00D702ED" w:rsidRPr="00E352CC" w:rsidRDefault="00D702ED">
                  <w:pPr>
                    <w:rPr>
                      <w:rFonts w:cs="Times New Roman"/>
                      <w:sz w:val="24"/>
                      <w:szCs w:val="24"/>
                      <w:lang w:eastAsia="lv-LV"/>
                    </w:rPr>
                  </w:pPr>
                  <w:r w:rsidRPr="00E352CC">
                    <w:rPr>
                      <w:rFonts w:cs="Times New Roman"/>
                      <w:sz w:val="24"/>
                      <w:szCs w:val="24"/>
                      <w:lang w:eastAsia="lv-LV"/>
                    </w:rPr>
                    <w:t>6.2. detalizēts izdevumu aprēķins</w:t>
                  </w:r>
                </w:p>
                <w:p w:rsidR="00D702ED" w:rsidRPr="00E352CC" w:rsidRDefault="00D702ED">
                  <w:pPr>
                    <w:rPr>
                      <w:rFonts w:cs="Times New Roman"/>
                      <w:sz w:val="24"/>
                      <w:szCs w:val="24"/>
                      <w:lang w:eastAsia="lv-LV"/>
                    </w:rPr>
                  </w:pPr>
                </w:p>
              </w:tc>
              <w:tc>
                <w:tcPr>
                  <w:tcW w:w="7441" w:type="dxa"/>
                  <w:gridSpan w:val="5"/>
                  <w:vMerge/>
                  <w:tcBorders>
                    <w:top w:val="outset" w:sz="6" w:space="0" w:color="auto"/>
                    <w:left w:val="outset" w:sz="6" w:space="0" w:color="auto"/>
                    <w:bottom w:val="outset" w:sz="6" w:space="0" w:color="auto"/>
                    <w:right w:val="outset" w:sz="6" w:space="0" w:color="auto"/>
                  </w:tcBorders>
                  <w:vAlign w:val="center"/>
                  <w:hideMark/>
                </w:tcPr>
                <w:p w:rsidR="00D702ED" w:rsidRPr="00E352CC" w:rsidRDefault="00D702ED">
                  <w:pPr>
                    <w:rPr>
                      <w:rFonts w:cs="Times New Roman"/>
                      <w:sz w:val="24"/>
                      <w:szCs w:val="24"/>
                      <w:lang w:eastAsia="lv-LV" w:bidi="ar-SA"/>
                    </w:rPr>
                  </w:pPr>
                </w:p>
              </w:tc>
            </w:tr>
            <w:tr w:rsidR="00E352CC" w:rsidRPr="00FD7278" w:rsidTr="000D47A5">
              <w:trPr>
                <w:trHeight w:val="555"/>
                <w:tblCellSpacing w:w="15" w:type="dxa"/>
                <w:jc w:val="center"/>
              </w:trPr>
              <w:tc>
                <w:tcPr>
                  <w:tcW w:w="2529" w:type="dxa"/>
                  <w:tcBorders>
                    <w:top w:val="outset" w:sz="6" w:space="0" w:color="auto"/>
                    <w:left w:val="outset" w:sz="6" w:space="0" w:color="auto"/>
                    <w:bottom w:val="outset" w:sz="6" w:space="0" w:color="auto"/>
                    <w:right w:val="outset" w:sz="6" w:space="0" w:color="auto"/>
                  </w:tcBorders>
                  <w:hideMark/>
                </w:tcPr>
                <w:p w:rsidR="00E352CC" w:rsidRPr="00E352CC" w:rsidRDefault="00E352CC">
                  <w:pPr>
                    <w:rPr>
                      <w:rFonts w:cs="Times New Roman"/>
                      <w:sz w:val="24"/>
                      <w:szCs w:val="24"/>
                      <w:lang w:eastAsia="lv-LV"/>
                    </w:rPr>
                  </w:pPr>
                  <w:r w:rsidRPr="00E352CC">
                    <w:rPr>
                      <w:rFonts w:cs="Times New Roman"/>
                      <w:sz w:val="24"/>
                      <w:szCs w:val="24"/>
                      <w:lang w:eastAsia="lv-LV"/>
                    </w:rPr>
                    <w:lastRenderedPageBreak/>
                    <w:t>7. Cita informācija</w:t>
                  </w:r>
                </w:p>
              </w:tc>
              <w:tc>
                <w:tcPr>
                  <w:tcW w:w="7441" w:type="dxa"/>
                  <w:gridSpan w:val="5"/>
                  <w:tcBorders>
                    <w:top w:val="outset" w:sz="6" w:space="0" w:color="auto"/>
                    <w:left w:val="outset" w:sz="6" w:space="0" w:color="auto"/>
                    <w:bottom w:val="outset" w:sz="6" w:space="0" w:color="auto"/>
                    <w:right w:val="outset" w:sz="6" w:space="0" w:color="auto"/>
                  </w:tcBorders>
                  <w:hideMark/>
                </w:tcPr>
                <w:p w:rsidR="00E352CC" w:rsidRPr="00E352CC" w:rsidRDefault="00E352CC">
                  <w:pPr>
                    <w:jc w:val="both"/>
                    <w:rPr>
                      <w:rFonts w:cs="Times New Roman"/>
                      <w:sz w:val="24"/>
                      <w:szCs w:val="24"/>
                      <w:lang w:eastAsia="lv-LV"/>
                    </w:rPr>
                  </w:pPr>
                  <w:r w:rsidRPr="0092177D">
                    <w:rPr>
                      <w:rFonts w:cs="Times New Roman"/>
                      <w:sz w:val="24"/>
                      <w:szCs w:val="24"/>
                      <w:lang w:eastAsia="lv-LV" w:bidi="ar-SA"/>
                    </w:rPr>
                    <w:t>Likumprojekta izpildi Aizsardzības ministrija 2016. gadā un turpmākajos gados nodrošinās atbilstoši tai piešķirtajiem budžeta līdzekļiem no budžeta programmas 31.00.00 “Militārpersonu pensiju fonds”, līdz ar to papildu līdzekļi nav nepieciešami.</w:t>
                  </w:r>
                </w:p>
              </w:tc>
            </w:tr>
          </w:tbl>
          <w:p w:rsidR="00FD1817" w:rsidRPr="00FD7278" w:rsidRDefault="00D702ED" w:rsidP="00E352CC">
            <w:pPr>
              <w:rPr>
                <w:rFonts w:cs="Times New Roman"/>
                <w:sz w:val="24"/>
                <w:szCs w:val="24"/>
                <w:lang w:eastAsia="lv-LV" w:bidi="ar-SA"/>
              </w:rPr>
            </w:pPr>
            <w:r w:rsidRPr="00E352CC">
              <w:rPr>
                <w:rFonts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6390"/>
              <w:gridCol w:w="3252"/>
            </w:tblGrid>
            <w:tr w:rsidR="00FD7278" w:rsidRPr="00FD7278" w:rsidTr="00E62B00">
              <w:trPr>
                <w:trHeight w:val="375"/>
                <w:tblCellSpacing w:w="15" w:type="dxa"/>
                <w:jc w:val="center"/>
              </w:trPr>
              <w:tc>
                <w:tcPr>
                  <w:tcW w:w="10130" w:type="dxa"/>
                  <w:gridSpan w:val="3"/>
                  <w:tcBorders>
                    <w:top w:val="outset" w:sz="6" w:space="0" w:color="auto"/>
                    <w:left w:val="outset" w:sz="6" w:space="0" w:color="auto"/>
                    <w:bottom w:val="outset" w:sz="6" w:space="0" w:color="auto"/>
                    <w:right w:val="outset" w:sz="6" w:space="0" w:color="auto"/>
                  </w:tcBorders>
                  <w:vAlign w:val="center"/>
                  <w:hideMark/>
                </w:tcPr>
                <w:p w:rsidR="00FD1817" w:rsidRPr="00E352CC" w:rsidRDefault="00FD1817" w:rsidP="00FD1817">
                  <w:pPr>
                    <w:spacing w:before="100" w:beforeAutospacing="1" w:after="100" w:afterAutospacing="1" w:line="360" w:lineRule="auto"/>
                    <w:jc w:val="center"/>
                    <w:rPr>
                      <w:rFonts w:cs="Times New Roman"/>
                      <w:b/>
                      <w:bCs/>
                      <w:sz w:val="24"/>
                      <w:szCs w:val="24"/>
                      <w:lang w:eastAsia="lv-LV" w:bidi="ar-SA"/>
                    </w:rPr>
                  </w:pPr>
                  <w:r w:rsidRPr="00E352CC">
                    <w:rPr>
                      <w:rFonts w:cs="Times New Roman"/>
                      <w:b/>
                      <w:bCs/>
                      <w:sz w:val="24"/>
                      <w:szCs w:val="24"/>
                      <w:lang w:eastAsia="lv-LV" w:bidi="ar-SA"/>
                    </w:rPr>
                    <w:t>VII. Tiesību akta projekta izpildes nodrošināšana un tās ietekme uz institūcijām</w:t>
                  </w:r>
                </w:p>
              </w:tc>
            </w:tr>
            <w:tr w:rsidR="00FD7278" w:rsidRPr="00FD7278" w:rsidTr="00572AF9">
              <w:trPr>
                <w:trHeight w:val="42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1.</w:t>
                  </w:r>
                </w:p>
              </w:tc>
              <w:tc>
                <w:tcPr>
                  <w:tcW w:w="6360"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Projekta izpildē iesaistītās institūcijas</w:t>
                  </w:r>
                </w:p>
              </w:tc>
              <w:tc>
                <w:tcPr>
                  <w:tcW w:w="3207" w:type="dxa"/>
                  <w:tcBorders>
                    <w:top w:val="outset" w:sz="6" w:space="0" w:color="auto"/>
                    <w:left w:val="outset" w:sz="6" w:space="0" w:color="auto"/>
                    <w:bottom w:val="outset" w:sz="6" w:space="0" w:color="auto"/>
                    <w:right w:val="outset" w:sz="6" w:space="0" w:color="auto"/>
                  </w:tcBorders>
                  <w:hideMark/>
                </w:tcPr>
                <w:p w:rsidR="00FD1817" w:rsidRPr="00FD7278" w:rsidRDefault="00020697" w:rsidP="00FD1817">
                  <w:pPr>
                    <w:rPr>
                      <w:rFonts w:cs="Times New Roman"/>
                      <w:sz w:val="24"/>
                      <w:szCs w:val="24"/>
                      <w:lang w:eastAsia="lv-LV" w:bidi="ar-SA"/>
                    </w:rPr>
                  </w:pPr>
                  <w:r w:rsidRPr="00FD7278">
                    <w:rPr>
                      <w:rFonts w:cs="Times New Roman"/>
                      <w:sz w:val="24"/>
                      <w:szCs w:val="24"/>
                      <w:lang w:eastAsia="lv-LV" w:bidi="ar-SA"/>
                    </w:rPr>
                    <w:t>Aizsardzības ministrija</w:t>
                  </w:r>
                </w:p>
                <w:p w:rsidR="00020697" w:rsidRPr="00D75D4B" w:rsidRDefault="00020697" w:rsidP="0030778C">
                  <w:pPr>
                    <w:rPr>
                      <w:rFonts w:cs="Times New Roman"/>
                      <w:sz w:val="24"/>
                      <w:szCs w:val="24"/>
                      <w:lang w:eastAsia="lv-LV" w:bidi="ar-SA"/>
                    </w:rPr>
                  </w:pPr>
                </w:p>
              </w:tc>
            </w:tr>
            <w:tr w:rsidR="00FD7278" w:rsidRPr="00FD7278" w:rsidTr="00572AF9">
              <w:trPr>
                <w:trHeight w:val="45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2.</w:t>
                  </w:r>
                </w:p>
              </w:tc>
              <w:tc>
                <w:tcPr>
                  <w:tcW w:w="6360" w:type="dxa"/>
                  <w:tcBorders>
                    <w:top w:val="outset" w:sz="6" w:space="0" w:color="auto"/>
                    <w:left w:val="outset" w:sz="6" w:space="0" w:color="auto"/>
                    <w:bottom w:val="outset" w:sz="6" w:space="0" w:color="auto"/>
                    <w:right w:val="outset" w:sz="6" w:space="0" w:color="auto"/>
                  </w:tcBorders>
                  <w:hideMark/>
                </w:tcPr>
                <w:p w:rsidR="00FD1817" w:rsidRPr="00FD7278" w:rsidRDefault="00FD1817" w:rsidP="00E62B00">
                  <w:pPr>
                    <w:rPr>
                      <w:rFonts w:cs="Times New Roman"/>
                      <w:sz w:val="24"/>
                      <w:szCs w:val="24"/>
                      <w:lang w:eastAsia="lv-LV" w:bidi="ar-SA"/>
                    </w:rPr>
                  </w:pPr>
                  <w:r w:rsidRPr="00FD7278">
                    <w:rPr>
                      <w:rFonts w:cs="Times New Roman"/>
                      <w:sz w:val="24"/>
                      <w:szCs w:val="24"/>
                      <w:lang w:eastAsia="lv-LV" w:bidi="ar-SA"/>
                    </w:rPr>
                    <w:t>Projekta izpildes ietekme uz pārvaldes funkcijām un institucionālo struktūru. Jaunu institūciju izveide, esošu institūciju likvidācija vai reorganizācija, to ietekme uz institūcijas cilvēkresursiem</w:t>
                  </w:r>
                </w:p>
              </w:tc>
              <w:tc>
                <w:tcPr>
                  <w:tcW w:w="3207" w:type="dxa"/>
                  <w:tcBorders>
                    <w:top w:val="outset" w:sz="6" w:space="0" w:color="auto"/>
                    <w:left w:val="outset" w:sz="6" w:space="0" w:color="auto"/>
                    <w:bottom w:val="outset" w:sz="6" w:space="0" w:color="auto"/>
                    <w:right w:val="outset" w:sz="6" w:space="0" w:color="auto"/>
                  </w:tcBorders>
                  <w:hideMark/>
                </w:tcPr>
                <w:p w:rsidR="00FD1817" w:rsidRPr="00FD7278" w:rsidRDefault="00020697" w:rsidP="00F87525">
                  <w:pPr>
                    <w:rPr>
                      <w:rFonts w:cs="Times New Roman"/>
                      <w:sz w:val="24"/>
                      <w:szCs w:val="24"/>
                      <w:lang w:eastAsia="lv-LV" w:bidi="ar-SA"/>
                    </w:rPr>
                  </w:pPr>
                  <w:r w:rsidRPr="00FD7278">
                    <w:rPr>
                      <w:rFonts w:cs="Times New Roman"/>
                      <w:sz w:val="24"/>
                      <w:szCs w:val="24"/>
                      <w:lang w:eastAsia="lv-LV" w:bidi="ar-SA"/>
                    </w:rPr>
                    <w:t>Nav</w:t>
                  </w:r>
                </w:p>
              </w:tc>
            </w:tr>
            <w:tr w:rsidR="00FD7278" w:rsidRPr="00FD7278" w:rsidTr="00572AF9">
              <w:trPr>
                <w:trHeight w:val="390"/>
                <w:tblCellSpacing w:w="15" w:type="dxa"/>
                <w:jc w:val="center"/>
              </w:trPr>
              <w:tc>
                <w:tcPr>
                  <w:tcW w:w="503"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3.</w:t>
                  </w:r>
                </w:p>
              </w:tc>
              <w:tc>
                <w:tcPr>
                  <w:tcW w:w="6360" w:type="dxa"/>
                  <w:tcBorders>
                    <w:top w:val="outset" w:sz="6" w:space="0" w:color="auto"/>
                    <w:left w:val="outset" w:sz="6" w:space="0" w:color="auto"/>
                    <w:bottom w:val="outset" w:sz="6" w:space="0" w:color="auto"/>
                    <w:right w:val="outset" w:sz="6" w:space="0" w:color="auto"/>
                  </w:tcBorders>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t>Cita informācija</w:t>
                  </w:r>
                </w:p>
              </w:tc>
              <w:tc>
                <w:tcPr>
                  <w:tcW w:w="3207" w:type="dxa"/>
                  <w:tcBorders>
                    <w:top w:val="outset" w:sz="6" w:space="0" w:color="auto"/>
                    <w:left w:val="outset" w:sz="6" w:space="0" w:color="auto"/>
                    <w:bottom w:val="outset" w:sz="6" w:space="0" w:color="auto"/>
                    <w:right w:val="outset" w:sz="6" w:space="0" w:color="auto"/>
                  </w:tcBorders>
                  <w:hideMark/>
                </w:tcPr>
                <w:p w:rsidR="00FD1817" w:rsidRPr="00FD7278" w:rsidRDefault="00020697" w:rsidP="00F87525">
                  <w:pPr>
                    <w:spacing w:before="100" w:beforeAutospacing="1" w:after="100" w:afterAutospacing="1" w:line="360" w:lineRule="auto"/>
                    <w:rPr>
                      <w:rFonts w:cs="Times New Roman"/>
                      <w:sz w:val="24"/>
                      <w:szCs w:val="24"/>
                      <w:lang w:eastAsia="lv-LV" w:bidi="ar-SA"/>
                    </w:rPr>
                  </w:pPr>
                  <w:r w:rsidRPr="00FD7278">
                    <w:rPr>
                      <w:rFonts w:cs="Times New Roman"/>
                      <w:sz w:val="24"/>
                      <w:szCs w:val="24"/>
                      <w:lang w:eastAsia="lv-LV" w:bidi="ar-SA"/>
                    </w:rPr>
                    <w:t>Nav</w:t>
                  </w:r>
                </w:p>
              </w:tc>
            </w:tr>
          </w:tbl>
          <w:p w:rsidR="00FD1817" w:rsidRPr="00FD7278" w:rsidRDefault="00FD1817" w:rsidP="00FD1817">
            <w:pPr>
              <w:jc w:val="center"/>
              <w:rPr>
                <w:rFonts w:cs="Times New Roman"/>
                <w:sz w:val="24"/>
                <w:szCs w:val="24"/>
                <w:lang w:eastAsia="lv-LV" w:bidi="ar-SA"/>
              </w:rPr>
            </w:pPr>
          </w:p>
        </w:tc>
        <w:tc>
          <w:tcPr>
            <w:tcW w:w="78" w:type="dxa"/>
            <w:vAlign w:val="center"/>
            <w:hideMark/>
          </w:tcPr>
          <w:p w:rsidR="00FD1817" w:rsidRPr="00FD7278" w:rsidRDefault="00FD1817" w:rsidP="00FD1817">
            <w:pPr>
              <w:rPr>
                <w:rFonts w:cs="Times New Roman"/>
                <w:sz w:val="24"/>
                <w:szCs w:val="24"/>
                <w:lang w:eastAsia="lv-LV" w:bidi="ar-SA"/>
              </w:rPr>
            </w:pPr>
            <w:r w:rsidRPr="00FD7278">
              <w:rPr>
                <w:rFonts w:cs="Times New Roman"/>
                <w:sz w:val="24"/>
                <w:szCs w:val="24"/>
                <w:lang w:eastAsia="lv-LV" w:bidi="ar-SA"/>
              </w:rPr>
              <w:lastRenderedPageBreak/>
              <w:t xml:space="preserve">  </w:t>
            </w:r>
          </w:p>
        </w:tc>
        <w:tc>
          <w:tcPr>
            <w:tcW w:w="64" w:type="dxa"/>
            <w:hideMark/>
          </w:tcPr>
          <w:p w:rsidR="00FD1817" w:rsidRPr="00FD7278" w:rsidRDefault="00FD1817" w:rsidP="00C85505">
            <w:pPr>
              <w:shd w:val="clear" w:color="auto" w:fill="F1F1F1"/>
              <w:spacing w:before="100" w:beforeAutospacing="1" w:after="100" w:afterAutospacing="1"/>
              <w:ind w:right="519" w:hanging="78"/>
              <w:rPr>
                <w:rFonts w:cs="Times New Roman"/>
                <w:sz w:val="24"/>
                <w:szCs w:val="24"/>
                <w:lang w:eastAsia="lv-LV" w:bidi="ar-SA"/>
              </w:rPr>
            </w:pPr>
          </w:p>
        </w:tc>
      </w:tr>
    </w:tbl>
    <w:p w:rsidR="00FD1817" w:rsidRPr="00FD7278" w:rsidRDefault="00FD1817" w:rsidP="00FD1817">
      <w:pPr>
        <w:rPr>
          <w:rFonts w:cs="Times New Roman"/>
          <w:vanish/>
          <w:sz w:val="24"/>
          <w:szCs w:val="24"/>
          <w:lang w:eastAsia="lv-LV" w:bidi="ar-SA"/>
        </w:rPr>
      </w:pPr>
      <w:r w:rsidRPr="00FD7278">
        <w:rPr>
          <w:rFonts w:cs="Times New Roman"/>
          <w:vanish/>
          <w:sz w:val="24"/>
          <w:szCs w:val="24"/>
          <w:lang w:eastAsia="lv-LV" w:bidi="ar-SA"/>
        </w:rPr>
        <w:lastRenderedPageBreak/>
        <w:t>203061</w:t>
      </w:r>
    </w:p>
    <w:p w:rsidR="00FD1817" w:rsidRPr="00FD7278" w:rsidRDefault="00FD1817" w:rsidP="00FD1817">
      <w:pPr>
        <w:rPr>
          <w:rFonts w:cs="Times New Roman"/>
          <w:vanish/>
          <w:sz w:val="24"/>
          <w:szCs w:val="24"/>
          <w:lang w:eastAsia="lv-LV" w:bidi="ar-SA"/>
        </w:rPr>
      </w:pPr>
      <w:r w:rsidRPr="00FD7278">
        <w:rPr>
          <w:rFonts w:cs="Times New Roman"/>
          <w:vanish/>
          <w:sz w:val="24"/>
          <w:szCs w:val="24"/>
          <w:lang w:eastAsia="lv-LV" w:bidi="ar-SA"/>
        </w:rPr>
        <w:t>{"selected":{"value":"01.01.2014","content":"&lt;font class='s-1'&gt;01.01.2014.-...&lt;\/font&gt; &lt;font class='s-3'&gt;Sp\u0113k\u0101 eso\u0161\u0101&lt;\/font&gt;"},"data":[{"value":"01.01.2014","content":"&lt;font class='s-1'&gt;01.01.2014.-...&lt;\/font&gt; &lt;font class='s-3'&gt;Sp\u0113k\u0101 eso\u0161\u0101&lt;\/font&gt;"},{"value":"01.01.2011","content":"&lt;font class='s-1'&gt;01.01.2011.-31.12.2013.&lt;\/font&gt; &lt;font class='s-2'&gt;V\u0113sturisk\u0101&lt;\/font&gt;"},{"value":"29.12.2010","content":"&lt;font class='s-1'&gt;29.12.2010.-31.12.2010.&lt;\/font&gt; &lt;font class='s-2'&gt;V\u0113sturisk\u0101&lt;\/font&gt;"},{"value":"01.01.2010","content":"&lt;font class='s-1'&gt;01.01.2010.-28.12.2010.&lt;\/font&gt; &lt;font class='s-2'&gt;Pamata&lt;\/font&gt;"}]}</w:t>
      </w:r>
    </w:p>
    <w:p w:rsidR="00FD1817" w:rsidRPr="00D75D4B" w:rsidRDefault="00FD1817" w:rsidP="00FD1817">
      <w:pPr>
        <w:rPr>
          <w:rFonts w:cs="Times New Roman"/>
          <w:vanish/>
          <w:sz w:val="24"/>
          <w:szCs w:val="24"/>
          <w:lang w:eastAsia="lv-LV" w:bidi="ar-SA"/>
        </w:rPr>
      </w:pPr>
      <w:r w:rsidRPr="00D75D4B">
        <w:rPr>
          <w:rFonts w:cs="Times New Roman"/>
          <w:vanish/>
          <w:sz w:val="24"/>
          <w:szCs w:val="24"/>
          <w:lang w:eastAsia="lv-LV" w:bidi="ar-SA"/>
        </w:rPr>
        <w:t>01.01.2014</w:t>
      </w:r>
    </w:p>
    <w:p w:rsidR="00FD1817" w:rsidRPr="0092177D" w:rsidRDefault="00FD1817" w:rsidP="00FD1817">
      <w:pPr>
        <w:rPr>
          <w:rFonts w:cs="Times New Roman"/>
          <w:vanish/>
          <w:sz w:val="24"/>
          <w:szCs w:val="24"/>
          <w:lang w:eastAsia="lv-LV" w:bidi="ar-SA"/>
        </w:rPr>
      </w:pPr>
      <w:r w:rsidRPr="00D75D4B">
        <w:rPr>
          <w:rFonts w:cs="Times New Roman"/>
          <w:vanish/>
          <w:sz w:val="24"/>
          <w:szCs w:val="24"/>
          <w:lang w:eastAsia="lv-LV" w:bidi="ar-SA"/>
        </w:rPr>
        <w:t>01.01.2014</w:t>
      </w:r>
    </w:p>
    <w:p w:rsidR="00FD1817" w:rsidRPr="00950BD5" w:rsidRDefault="00FD1817" w:rsidP="00FD1817">
      <w:pPr>
        <w:rPr>
          <w:rFonts w:cs="Times New Roman"/>
          <w:vanish/>
          <w:sz w:val="24"/>
          <w:szCs w:val="24"/>
          <w:lang w:eastAsia="lv-LV" w:bidi="ar-SA"/>
        </w:rPr>
      </w:pPr>
      <w:r w:rsidRPr="0092177D">
        <w:rPr>
          <w:rFonts w:cs="Times New Roman"/>
          <w:vanish/>
          <w:sz w:val="24"/>
          <w:szCs w:val="24"/>
          <w:lang w:eastAsia="lv-LV" w:bidi="ar-SA"/>
        </w:rPr>
        <w:t>86</w:t>
      </w:r>
    </w:p>
    <w:p w:rsidR="00FD1817" w:rsidRPr="00950BD5" w:rsidRDefault="00FD1817" w:rsidP="00FD1817">
      <w:pPr>
        <w:rPr>
          <w:rFonts w:cs="Times New Roman"/>
          <w:vanish/>
          <w:sz w:val="24"/>
          <w:szCs w:val="24"/>
          <w:lang w:eastAsia="lv-LV" w:bidi="ar-SA"/>
        </w:rPr>
      </w:pPr>
      <w:r w:rsidRPr="00950BD5">
        <w:rPr>
          <w:rFonts w:cs="Times New Roman"/>
          <w:vanish/>
          <w:sz w:val="24"/>
          <w:szCs w:val="24"/>
          <w:lang w:eastAsia="lv-LV" w:bidi="ar-SA"/>
        </w:rPr>
        <w:t>1</w:t>
      </w:r>
    </w:p>
    <w:p w:rsidR="00FD1817" w:rsidRPr="00950BD5" w:rsidRDefault="00FD1817" w:rsidP="00FD1817">
      <w:pPr>
        <w:numPr>
          <w:ilvl w:val="0"/>
          <w:numId w:val="3"/>
        </w:numPr>
        <w:spacing w:before="100" w:beforeAutospacing="1" w:after="100" w:afterAutospacing="1"/>
        <w:ind w:left="0"/>
        <w:rPr>
          <w:rFonts w:cs="Times New Roman"/>
          <w:vanish/>
          <w:sz w:val="24"/>
          <w:szCs w:val="24"/>
          <w:lang w:eastAsia="lv-LV" w:bidi="ar-SA"/>
        </w:rPr>
      </w:pPr>
      <w:r w:rsidRPr="00950BD5">
        <w:rPr>
          <w:rFonts w:cs="Times New Roman"/>
          <w:vanish/>
          <w:sz w:val="24"/>
          <w:szCs w:val="24"/>
          <w:lang w:eastAsia="lv-LV" w:bidi="ar-SA"/>
        </w:rPr>
        <w:t>Drukāt tiesību aktu</w:t>
      </w:r>
    </w:p>
    <w:p w:rsidR="00FD1817" w:rsidRPr="00950BD5" w:rsidRDefault="00FD1817" w:rsidP="00FD1817">
      <w:pPr>
        <w:numPr>
          <w:ilvl w:val="0"/>
          <w:numId w:val="3"/>
        </w:numPr>
        <w:spacing w:before="100" w:beforeAutospacing="1" w:after="100" w:afterAutospacing="1"/>
        <w:ind w:left="0"/>
        <w:rPr>
          <w:rFonts w:cs="Times New Roman"/>
          <w:vanish/>
          <w:sz w:val="24"/>
          <w:szCs w:val="24"/>
          <w:lang w:eastAsia="lv-LV" w:bidi="ar-SA"/>
        </w:rPr>
      </w:pPr>
      <w:r w:rsidRPr="00950BD5">
        <w:rPr>
          <w:rFonts w:cs="Times New Roman"/>
          <w:vanish/>
          <w:sz w:val="24"/>
          <w:szCs w:val="24"/>
          <w:lang w:eastAsia="lv-LV" w:bidi="ar-SA"/>
        </w:rPr>
        <w:t>Saglabāt kā PDF dokumentu</w:t>
      </w:r>
    </w:p>
    <w:p w:rsidR="00FD1817" w:rsidRPr="00C74485" w:rsidRDefault="00FD1817" w:rsidP="00C85505">
      <w:pPr>
        <w:rPr>
          <w:rFonts w:cs="Times New Roman"/>
          <w:sz w:val="24"/>
          <w:szCs w:val="24"/>
          <w:lang w:eastAsia="lv-LV" w:bidi="ar-SA"/>
        </w:rPr>
      </w:pPr>
      <w:r w:rsidRPr="00950BD5">
        <w:rPr>
          <w:rFonts w:cs="Times New Roman"/>
          <w:sz w:val="24"/>
          <w:szCs w:val="24"/>
          <w:lang w:eastAsia="lv-LV" w:bidi="ar-SA"/>
        </w:rPr>
        <w:t> </w:t>
      </w:r>
    </w:p>
    <w:p w:rsidR="000835E8" w:rsidRPr="00E352CC" w:rsidRDefault="00B2175F" w:rsidP="000835E8">
      <w:pPr>
        <w:rPr>
          <w:rFonts w:cs="Times New Roman"/>
          <w:sz w:val="24"/>
          <w:szCs w:val="24"/>
        </w:rPr>
      </w:pPr>
      <w:r w:rsidRPr="00C74485">
        <w:rPr>
          <w:rFonts w:cs="Times New Roman"/>
          <w:sz w:val="24"/>
          <w:szCs w:val="24"/>
        </w:rPr>
        <w:t xml:space="preserve">IV, </w:t>
      </w:r>
      <w:r w:rsidR="000835E8" w:rsidRPr="00C74485">
        <w:rPr>
          <w:rFonts w:cs="Times New Roman"/>
          <w:sz w:val="24"/>
          <w:szCs w:val="24"/>
        </w:rPr>
        <w:t>V un VI sadaļa</w:t>
      </w:r>
      <w:r w:rsidR="000835E8" w:rsidRPr="00C74485">
        <w:rPr>
          <w:rFonts w:cs="Times New Roman"/>
          <w:b/>
          <w:sz w:val="24"/>
          <w:szCs w:val="24"/>
        </w:rPr>
        <w:t xml:space="preserve"> – </w:t>
      </w:r>
      <w:r w:rsidR="000835E8" w:rsidRPr="00F31852">
        <w:rPr>
          <w:rFonts w:cs="Times New Roman"/>
          <w:sz w:val="24"/>
          <w:szCs w:val="24"/>
        </w:rPr>
        <w:t>projekts šīs jomas neskar.  </w:t>
      </w:r>
    </w:p>
    <w:p w:rsidR="00FD2938" w:rsidRPr="00FD7278" w:rsidRDefault="00FD2938" w:rsidP="00D51155">
      <w:pPr>
        <w:rPr>
          <w:rFonts w:cs="Times New Roman"/>
          <w:sz w:val="24"/>
          <w:szCs w:val="24"/>
          <w:lang w:eastAsia="lv-LV" w:bidi="ar-SA"/>
        </w:rPr>
      </w:pPr>
    </w:p>
    <w:p w:rsidR="00D51155" w:rsidRPr="00FD7278" w:rsidRDefault="00D51155" w:rsidP="00D51155">
      <w:pPr>
        <w:rPr>
          <w:rFonts w:cs="Times New Roman"/>
          <w:sz w:val="24"/>
          <w:szCs w:val="24"/>
          <w:lang w:eastAsia="lv-LV" w:bidi="ar-SA"/>
        </w:rPr>
      </w:pPr>
      <w:r w:rsidRPr="00FD7278">
        <w:rPr>
          <w:rFonts w:cs="Times New Roman"/>
          <w:sz w:val="24"/>
          <w:szCs w:val="24"/>
          <w:lang w:eastAsia="lv-LV" w:bidi="ar-SA"/>
        </w:rPr>
        <w:t>Aizsardzības ministrs</w:t>
      </w:r>
      <w:proofErr w:type="gramStart"/>
      <w:r w:rsidR="000D14EC" w:rsidRPr="00FD7278">
        <w:rPr>
          <w:rFonts w:cs="Times New Roman"/>
          <w:sz w:val="24"/>
          <w:szCs w:val="24"/>
          <w:lang w:eastAsia="lv-LV" w:bidi="ar-SA"/>
        </w:rPr>
        <w:t xml:space="preserve">                                                                                                        </w:t>
      </w:r>
      <w:proofErr w:type="gramEnd"/>
      <w:r w:rsidR="000D14EC" w:rsidRPr="00FD7278">
        <w:rPr>
          <w:rFonts w:cs="Times New Roman"/>
          <w:sz w:val="24"/>
          <w:szCs w:val="24"/>
          <w:lang w:eastAsia="lv-LV" w:bidi="ar-SA"/>
        </w:rPr>
        <w:t>R.</w:t>
      </w:r>
      <w:r w:rsidR="00A2318F" w:rsidRPr="00FD7278">
        <w:rPr>
          <w:rFonts w:cs="Times New Roman"/>
          <w:sz w:val="24"/>
          <w:szCs w:val="24"/>
          <w:lang w:eastAsia="lv-LV" w:bidi="ar-SA"/>
        </w:rPr>
        <w:t> </w:t>
      </w:r>
      <w:r w:rsidR="004C60D6" w:rsidRPr="00FD7278">
        <w:rPr>
          <w:rFonts w:cs="Times New Roman"/>
          <w:sz w:val="24"/>
          <w:szCs w:val="24"/>
          <w:lang w:eastAsia="lv-LV" w:bidi="ar-SA"/>
        </w:rPr>
        <w:t>Bergmanis</w:t>
      </w:r>
    </w:p>
    <w:p w:rsidR="000D14EC" w:rsidRPr="00FD7278" w:rsidRDefault="000D14EC" w:rsidP="00D51155">
      <w:pPr>
        <w:rPr>
          <w:rFonts w:cs="Times New Roman"/>
          <w:sz w:val="24"/>
          <w:szCs w:val="24"/>
          <w:lang w:eastAsia="lv-LV" w:bidi="ar-SA"/>
        </w:rPr>
      </w:pPr>
    </w:p>
    <w:p w:rsidR="00D51155" w:rsidRPr="00FD7278" w:rsidRDefault="00D51155" w:rsidP="00D51155">
      <w:pPr>
        <w:rPr>
          <w:rFonts w:cs="Times New Roman"/>
          <w:sz w:val="24"/>
          <w:szCs w:val="24"/>
          <w:lang w:eastAsia="lv-LV" w:bidi="ar-SA"/>
        </w:rPr>
      </w:pP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t xml:space="preserve"> </w:t>
      </w:r>
    </w:p>
    <w:p w:rsidR="00FD2938" w:rsidRPr="00FD7278" w:rsidRDefault="00FD2938" w:rsidP="00D51155">
      <w:pPr>
        <w:rPr>
          <w:rFonts w:cs="Times New Roman"/>
          <w:sz w:val="24"/>
          <w:szCs w:val="24"/>
          <w:lang w:eastAsia="lv-LV" w:bidi="ar-SA"/>
        </w:rPr>
      </w:pPr>
    </w:p>
    <w:p w:rsidR="000D14EC" w:rsidRPr="00E352CC" w:rsidRDefault="00D51155" w:rsidP="00D51155">
      <w:pPr>
        <w:rPr>
          <w:rFonts w:cs="Times New Roman"/>
          <w:sz w:val="24"/>
          <w:szCs w:val="24"/>
          <w:lang w:eastAsia="lv-LV" w:bidi="ar-SA"/>
        </w:rPr>
      </w:pPr>
      <w:r w:rsidRPr="00FD7278">
        <w:rPr>
          <w:rFonts w:cs="Times New Roman"/>
          <w:sz w:val="24"/>
          <w:szCs w:val="24"/>
          <w:lang w:eastAsia="lv-LV" w:bidi="ar-SA"/>
        </w:rPr>
        <w:t>Vīza: Valsts sekretārs</w:t>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r w:rsidRPr="00FD7278">
        <w:rPr>
          <w:rFonts w:cs="Times New Roman"/>
          <w:sz w:val="24"/>
          <w:szCs w:val="24"/>
          <w:lang w:eastAsia="lv-LV" w:bidi="ar-SA"/>
        </w:rPr>
        <w:tab/>
      </w:r>
      <w:proofErr w:type="gramStart"/>
      <w:r w:rsidR="000D14EC" w:rsidRPr="00FD7278">
        <w:rPr>
          <w:rFonts w:cs="Times New Roman"/>
          <w:sz w:val="24"/>
          <w:szCs w:val="24"/>
          <w:lang w:eastAsia="lv-LV" w:bidi="ar-SA"/>
        </w:rPr>
        <w:t xml:space="preserve">                  </w:t>
      </w:r>
      <w:proofErr w:type="gramEnd"/>
      <w:r w:rsidRPr="00FD7278">
        <w:rPr>
          <w:rFonts w:cs="Times New Roman"/>
          <w:sz w:val="24"/>
          <w:szCs w:val="24"/>
          <w:lang w:eastAsia="lv-LV" w:bidi="ar-SA"/>
        </w:rPr>
        <w:t>J.</w:t>
      </w:r>
      <w:r w:rsidR="00A2318F" w:rsidRPr="00FD7278">
        <w:rPr>
          <w:rFonts w:cs="Times New Roman"/>
          <w:sz w:val="24"/>
          <w:szCs w:val="24"/>
          <w:lang w:eastAsia="lv-LV" w:bidi="ar-SA"/>
        </w:rPr>
        <w:t> </w:t>
      </w:r>
      <w:proofErr w:type="spellStart"/>
      <w:r w:rsidR="004C60D6" w:rsidRPr="00FD7278">
        <w:rPr>
          <w:rFonts w:cs="Times New Roman"/>
          <w:sz w:val="24"/>
          <w:szCs w:val="24"/>
          <w:lang w:eastAsia="lv-LV" w:bidi="ar-SA"/>
        </w:rPr>
        <w:t>Garisons</w:t>
      </w:r>
      <w:proofErr w:type="spellEnd"/>
    </w:p>
    <w:p w:rsidR="00FD2938" w:rsidRPr="00E352CC" w:rsidRDefault="00FD2938" w:rsidP="00D51155">
      <w:pPr>
        <w:rPr>
          <w:rFonts w:cs="Times New Roman"/>
          <w:sz w:val="24"/>
          <w:szCs w:val="24"/>
          <w:lang w:eastAsia="lv-LV" w:bidi="ar-SA"/>
        </w:rPr>
      </w:pPr>
    </w:p>
    <w:p w:rsidR="00785E41" w:rsidRPr="00D75D4B" w:rsidRDefault="002A4F1E" w:rsidP="00D51155">
      <w:pPr>
        <w:tabs>
          <w:tab w:val="center" w:pos="4153"/>
          <w:tab w:val="right" w:pos="8306"/>
        </w:tabs>
        <w:rPr>
          <w:rFonts w:cs="Times New Roman"/>
          <w:lang w:eastAsia="lv-LV" w:bidi="ar-SA"/>
        </w:rPr>
      </w:pPr>
      <w:r>
        <w:rPr>
          <w:rFonts w:cs="Times New Roman"/>
          <w:lang w:eastAsia="lv-LV" w:bidi="ar-SA"/>
        </w:rPr>
        <w:t>1</w:t>
      </w:r>
      <w:r w:rsidR="00D702ED" w:rsidRPr="00FD7278">
        <w:rPr>
          <w:rFonts w:cs="Times New Roman"/>
          <w:lang w:eastAsia="lv-LV" w:bidi="ar-SA"/>
        </w:rPr>
        <w:t>6</w:t>
      </w:r>
      <w:r w:rsidR="00FA112D" w:rsidRPr="00FD7278">
        <w:rPr>
          <w:rFonts w:cs="Times New Roman"/>
          <w:lang w:eastAsia="lv-LV" w:bidi="ar-SA"/>
        </w:rPr>
        <w:t>.</w:t>
      </w:r>
      <w:r w:rsidR="00153BA0" w:rsidRPr="00FD7278">
        <w:rPr>
          <w:rFonts w:cs="Times New Roman"/>
          <w:lang w:eastAsia="lv-LV" w:bidi="ar-SA"/>
        </w:rPr>
        <w:t>0</w:t>
      </w:r>
      <w:r w:rsidR="00FE4513">
        <w:rPr>
          <w:rFonts w:cs="Times New Roman"/>
          <w:lang w:eastAsia="lv-LV" w:bidi="ar-SA"/>
        </w:rPr>
        <w:t>3</w:t>
      </w:r>
      <w:r w:rsidR="00785E41" w:rsidRPr="00FD7278">
        <w:rPr>
          <w:rFonts w:cs="Times New Roman"/>
          <w:lang w:eastAsia="lv-LV" w:bidi="ar-SA"/>
        </w:rPr>
        <w:t>.201</w:t>
      </w:r>
      <w:r w:rsidR="00153BA0" w:rsidRPr="00FD7278">
        <w:rPr>
          <w:rFonts w:cs="Times New Roman"/>
          <w:lang w:eastAsia="lv-LV" w:bidi="ar-SA"/>
        </w:rPr>
        <w:t>6</w:t>
      </w:r>
      <w:r w:rsidR="008459E8" w:rsidRPr="00D75D4B">
        <w:rPr>
          <w:rFonts w:cs="Times New Roman"/>
          <w:lang w:eastAsia="lv-LV" w:bidi="ar-SA"/>
        </w:rPr>
        <w:t>.</w:t>
      </w:r>
    </w:p>
    <w:p w:rsidR="00785E41" w:rsidRPr="00D479F7" w:rsidRDefault="005B7EBA" w:rsidP="00D51155">
      <w:pPr>
        <w:tabs>
          <w:tab w:val="center" w:pos="4153"/>
          <w:tab w:val="right" w:pos="8306"/>
        </w:tabs>
        <w:rPr>
          <w:rFonts w:cs="Times New Roman"/>
          <w:lang w:eastAsia="x-none" w:bidi="ar-SA"/>
        </w:rPr>
      </w:pPr>
      <w:r>
        <w:rPr>
          <w:rFonts w:cs="Times New Roman"/>
          <w:lang w:eastAsia="x-none" w:bidi="ar-SA"/>
        </w:rPr>
        <w:t>1535</w:t>
      </w:r>
    </w:p>
    <w:p w:rsidR="00D51155" w:rsidRPr="00E352CC" w:rsidRDefault="00D51155" w:rsidP="00D51155">
      <w:pPr>
        <w:tabs>
          <w:tab w:val="center" w:pos="4153"/>
          <w:tab w:val="right" w:pos="8306"/>
        </w:tabs>
        <w:rPr>
          <w:rFonts w:cs="Times New Roman"/>
          <w:lang w:eastAsia="x-none" w:bidi="ar-SA"/>
        </w:rPr>
      </w:pPr>
      <w:r w:rsidRPr="00E352CC">
        <w:rPr>
          <w:rFonts w:cs="Times New Roman"/>
          <w:lang w:eastAsia="x-none" w:bidi="ar-SA"/>
        </w:rPr>
        <w:t>A.</w:t>
      </w:r>
      <w:r w:rsidR="008459E8" w:rsidRPr="00E352CC">
        <w:rPr>
          <w:rFonts w:cs="Times New Roman"/>
          <w:lang w:eastAsia="x-none" w:bidi="ar-SA"/>
        </w:rPr>
        <w:t> </w:t>
      </w:r>
      <w:proofErr w:type="spellStart"/>
      <w:r w:rsidRPr="00E352CC">
        <w:rPr>
          <w:rFonts w:cs="Times New Roman"/>
          <w:lang w:eastAsia="x-none" w:bidi="ar-SA"/>
        </w:rPr>
        <w:t>Jaško</w:t>
      </w:r>
      <w:proofErr w:type="spellEnd"/>
      <w:r w:rsidRPr="00E352CC">
        <w:rPr>
          <w:rFonts w:cs="Times New Roman"/>
          <w:lang w:eastAsia="x-none" w:bidi="ar-SA"/>
        </w:rPr>
        <w:t>,</w:t>
      </w:r>
    </w:p>
    <w:p w:rsidR="00D51155" w:rsidRPr="00E352CC" w:rsidRDefault="008459E8" w:rsidP="00D51155">
      <w:pPr>
        <w:tabs>
          <w:tab w:val="center" w:pos="4153"/>
          <w:tab w:val="right" w:pos="8306"/>
        </w:tabs>
        <w:rPr>
          <w:rFonts w:cs="Times New Roman"/>
          <w:lang w:eastAsia="x-none" w:bidi="ar-SA"/>
        </w:rPr>
      </w:pPr>
      <w:r w:rsidRPr="00E352CC">
        <w:rPr>
          <w:rFonts w:cs="Times New Roman"/>
          <w:lang w:eastAsia="x-none" w:bidi="ar-SA"/>
        </w:rPr>
        <w:t>Tālr.</w:t>
      </w:r>
      <w:r w:rsidR="00D51155" w:rsidRPr="00E352CC">
        <w:rPr>
          <w:rFonts w:cs="Times New Roman"/>
          <w:lang w:eastAsia="x-none" w:bidi="ar-SA"/>
        </w:rPr>
        <w:t xml:space="preserve"> 67335197;</w:t>
      </w:r>
    </w:p>
    <w:p w:rsidR="00D51155" w:rsidRPr="00E352CC" w:rsidRDefault="008459E8" w:rsidP="00D51155">
      <w:pPr>
        <w:tabs>
          <w:tab w:val="center" w:pos="4153"/>
          <w:tab w:val="right" w:pos="8306"/>
        </w:tabs>
        <w:rPr>
          <w:rFonts w:cs="Times New Roman"/>
          <w:lang w:eastAsia="x-none" w:bidi="ar-SA"/>
        </w:rPr>
      </w:pPr>
      <w:r w:rsidRPr="00E352CC">
        <w:rPr>
          <w:rFonts w:cs="Times New Roman"/>
          <w:lang w:eastAsia="x-none" w:bidi="ar-SA"/>
        </w:rPr>
        <w:t>Fakss</w:t>
      </w:r>
      <w:r w:rsidR="00D51155" w:rsidRPr="00E352CC">
        <w:rPr>
          <w:rFonts w:cs="Times New Roman"/>
          <w:lang w:eastAsia="x-none" w:bidi="ar-SA"/>
        </w:rPr>
        <w:t xml:space="preserve"> 67212307;</w:t>
      </w:r>
    </w:p>
    <w:p w:rsidR="0026236D" w:rsidRPr="00E352CC" w:rsidRDefault="008459E8" w:rsidP="000D14EC">
      <w:pPr>
        <w:tabs>
          <w:tab w:val="center" w:pos="4153"/>
          <w:tab w:val="right" w:pos="8306"/>
        </w:tabs>
        <w:rPr>
          <w:rFonts w:cs="Times New Roman"/>
          <w:lang w:eastAsia="x-none" w:bidi="ar-SA"/>
        </w:rPr>
      </w:pPr>
      <w:r w:rsidRPr="00E352CC">
        <w:rPr>
          <w:rFonts w:cs="Times New Roman"/>
          <w:lang w:eastAsia="x-none" w:bidi="ar-SA"/>
        </w:rPr>
        <w:t>E</w:t>
      </w:r>
      <w:r w:rsidR="00D51155" w:rsidRPr="00E352CC">
        <w:rPr>
          <w:rFonts w:cs="Times New Roman"/>
          <w:lang w:eastAsia="x-none" w:bidi="ar-SA"/>
        </w:rPr>
        <w:t xml:space="preserve">-pasta adrese: </w:t>
      </w:r>
      <w:hyperlink r:id="rId10" w:history="1">
        <w:r w:rsidR="00D51155" w:rsidRPr="00E352CC">
          <w:rPr>
            <w:rFonts w:cs="Times New Roman"/>
            <w:u w:val="single"/>
            <w:lang w:eastAsia="x-none" w:bidi="ar-SA"/>
          </w:rPr>
          <w:t>Andris.Jasko@mod.gov.lv</w:t>
        </w:r>
      </w:hyperlink>
    </w:p>
    <w:sectPr w:rsidR="0026236D" w:rsidRPr="00E352CC" w:rsidSect="00FD1817">
      <w:headerReference w:type="default" r:id="rId11"/>
      <w:footerReference w:type="default" r:id="rId1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4D" w:rsidRDefault="00EF354D" w:rsidP="000F393E">
      <w:r>
        <w:separator/>
      </w:r>
    </w:p>
  </w:endnote>
  <w:endnote w:type="continuationSeparator" w:id="0">
    <w:p w:rsidR="00EF354D" w:rsidRDefault="00EF354D" w:rsidP="000F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E" w:rsidRDefault="000F393E">
    <w:pPr>
      <w:pStyle w:val="Footer"/>
    </w:pPr>
  </w:p>
  <w:p w:rsidR="00057CB1" w:rsidRPr="00057CB1" w:rsidRDefault="00057CB1" w:rsidP="00057CB1">
    <w:pPr>
      <w:rPr>
        <w:rFonts w:cs="Times New Roman"/>
        <w:color w:val="000000"/>
        <w:sz w:val="24"/>
        <w:szCs w:val="24"/>
        <w:lang w:eastAsia="lv-LV" w:bidi="ar-SA"/>
      </w:rPr>
    </w:pPr>
    <w:r>
      <w:rPr>
        <w:rFonts w:cs="Times New Roman"/>
        <w:sz w:val="22"/>
        <w:szCs w:val="22"/>
        <w:lang w:eastAsia="lv-LV" w:bidi="ar-SA"/>
      </w:rPr>
      <w:t>AIManot_</w:t>
    </w:r>
    <w:r w:rsidR="002A4F1E">
      <w:rPr>
        <w:rFonts w:cs="Times New Roman"/>
        <w:sz w:val="22"/>
        <w:szCs w:val="22"/>
        <w:lang w:eastAsia="lv-LV" w:bidi="ar-SA"/>
      </w:rPr>
      <w:t>1</w:t>
    </w:r>
    <w:r w:rsidR="00D702ED">
      <w:rPr>
        <w:rFonts w:cs="Times New Roman"/>
        <w:sz w:val="22"/>
        <w:szCs w:val="22"/>
        <w:lang w:eastAsia="lv-LV" w:bidi="ar-SA"/>
      </w:rPr>
      <w:t>6</w:t>
    </w:r>
    <w:r w:rsidR="00153BA0">
      <w:rPr>
        <w:rFonts w:cs="Times New Roman"/>
        <w:sz w:val="22"/>
        <w:szCs w:val="22"/>
        <w:lang w:eastAsia="lv-LV" w:bidi="ar-SA"/>
      </w:rPr>
      <w:t>0</w:t>
    </w:r>
    <w:r w:rsidR="002A4F1E">
      <w:rPr>
        <w:rFonts w:cs="Times New Roman"/>
        <w:sz w:val="22"/>
        <w:szCs w:val="22"/>
        <w:lang w:eastAsia="lv-LV" w:bidi="ar-SA"/>
      </w:rPr>
      <w:t>3</w:t>
    </w:r>
    <w:r w:rsidRPr="00057CB1">
      <w:rPr>
        <w:rFonts w:cs="Times New Roman"/>
        <w:sz w:val="22"/>
        <w:szCs w:val="22"/>
        <w:lang w:eastAsia="lv-LV" w:bidi="ar-SA"/>
      </w:rPr>
      <w:t>1</w:t>
    </w:r>
    <w:r w:rsidR="00153BA0">
      <w:rPr>
        <w:rFonts w:cs="Times New Roman"/>
        <w:sz w:val="22"/>
        <w:szCs w:val="22"/>
        <w:lang w:eastAsia="lv-LV" w:bidi="ar-SA"/>
      </w:rPr>
      <w:t>6</w:t>
    </w:r>
    <w:r w:rsidRPr="00057CB1">
      <w:rPr>
        <w:rFonts w:cs="Times New Roman"/>
        <w:sz w:val="22"/>
        <w:szCs w:val="22"/>
        <w:lang w:eastAsia="lv-LV" w:bidi="ar-SA"/>
      </w:rPr>
      <w:t xml:space="preserve">_MIPL; </w:t>
    </w:r>
    <w:r w:rsidRPr="00057CB1">
      <w:rPr>
        <w:rFonts w:cs="Times New Roman"/>
        <w:color w:val="000000"/>
        <w:sz w:val="24"/>
        <w:szCs w:val="24"/>
        <w:lang w:eastAsia="lv-LV" w:bidi="ar-SA"/>
      </w:rPr>
      <w:t>Likumprojekta „Grozījumi „Militārpersonu izdienas pensiju likumā”” sākotnējās ietekmes novērtējuma ziņojums (anotācija)</w:t>
    </w:r>
  </w:p>
  <w:p w:rsidR="000F393E" w:rsidRDefault="000F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4D" w:rsidRDefault="00EF354D" w:rsidP="000F393E">
      <w:r>
        <w:separator/>
      </w:r>
    </w:p>
  </w:footnote>
  <w:footnote w:type="continuationSeparator" w:id="0">
    <w:p w:rsidR="00EF354D" w:rsidRDefault="00EF354D" w:rsidP="000F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20984"/>
      <w:docPartObj>
        <w:docPartGallery w:val="Page Numbers (Top of Page)"/>
        <w:docPartUnique/>
      </w:docPartObj>
    </w:sdtPr>
    <w:sdtEndPr>
      <w:rPr>
        <w:noProof/>
      </w:rPr>
    </w:sdtEndPr>
    <w:sdtContent>
      <w:p w:rsidR="000835E8" w:rsidRDefault="000835E8">
        <w:pPr>
          <w:pStyle w:val="Header"/>
          <w:jc w:val="center"/>
        </w:pPr>
        <w:r>
          <w:fldChar w:fldCharType="begin"/>
        </w:r>
        <w:r>
          <w:instrText xml:space="preserve"> PAGE   \* MERGEFORMAT </w:instrText>
        </w:r>
        <w:r>
          <w:fldChar w:fldCharType="separate"/>
        </w:r>
        <w:r w:rsidR="00CF38A8">
          <w:rPr>
            <w:noProof/>
          </w:rPr>
          <w:t>1</w:t>
        </w:r>
        <w:r>
          <w:rPr>
            <w:noProof/>
          </w:rPr>
          <w:fldChar w:fldCharType="end"/>
        </w:r>
      </w:p>
    </w:sdtContent>
  </w:sdt>
  <w:p w:rsidR="000835E8" w:rsidRDefault="0008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458"/>
    <w:multiLevelType w:val="hybridMultilevel"/>
    <w:tmpl w:val="5CF0C056"/>
    <w:lvl w:ilvl="0" w:tplc="ACEA11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6D37B64"/>
    <w:multiLevelType w:val="multilevel"/>
    <w:tmpl w:val="F5B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A2D82"/>
    <w:multiLevelType w:val="multilevel"/>
    <w:tmpl w:val="0E1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447E7"/>
    <w:multiLevelType w:val="hybridMultilevel"/>
    <w:tmpl w:val="2898B07C"/>
    <w:lvl w:ilvl="0" w:tplc="C11E1B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B0F40"/>
    <w:multiLevelType w:val="hybridMultilevel"/>
    <w:tmpl w:val="94621E7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23EF4"/>
    <w:multiLevelType w:val="hybridMultilevel"/>
    <w:tmpl w:val="FA2C1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C15E18"/>
    <w:multiLevelType w:val="multilevel"/>
    <w:tmpl w:val="ED988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17"/>
    <w:rsid w:val="00020697"/>
    <w:rsid w:val="000229FD"/>
    <w:rsid w:val="000416DB"/>
    <w:rsid w:val="00043894"/>
    <w:rsid w:val="00057CB1"/>
    <w:rsid w:val="000835E8"/>
    <w:rsid w:val="000B0AC2"/>
    <w:rsid w:val="000C4066"/>
    <w:rsid w:val="000C7C60"/>
    <w:rsid w:val="000D1328"/>
    <w:rsid w:val="000D14EC"/>
    <w:rsid w:val="000D42CA"/>
    <w:rsid w:val="000D47A5"/>
    <w:rsid w:val="000F0B3B"/>
    <w:rsid w:val="000F208A"/>
    <w:rsid w:val="000F393E"/>
    <w:rsid w:val="001064F6"/>
    <w:rsid w:val="00113907"/>
    <w:rsid w:val="00122278"/>
    <w:rsid w:val="00135419"/>
    <w:rsid w:val="00153BA0"/>
    <w:rsid w:val="0018249C"/>
    <w:rsid w:val="001A48B3"/>
    <w:rsid w:val="001B1F64"/>
    <w:rsid w:val="001C25DB"/>
    <w:rsid w:val="001E1A5B"/>
    <w:rsid w:val="002204C3"/>
    <w:rsid w:val="00221985"/>
    <w:rsid w:val="00234849"/>
    <w:rsid w:val="00243CF9"/>
    <w:rsid w:val="00244CEF"/>
    <w:rsid w:val="002554F5"/>
    <w:rsid w:val="0026236D"/>
    <w:rsid w:val="0027227F"/>
    <w:rsid w:val="00272A41"/>
    <w:rsid w:val="00297811"/>
    <w:rsid w:val="002A4F1E"/>
    <w:rsid w:val="002E1A96"/>
    <w:rsid w:val="00303931"/>
    <w:rsid w:val="00304507"/>
    <w:rsid w:val="0030778C"/>
    <w:rsid w:val="003A0056"/>
    <w:rsid w:val="003B5731"/>
    <w:rsid w:val="003C46FD"/>
    <w:rsid w:val="003D0AB1"/>
    <w:rsid w:val="003D649A"/>
    <w:rsid w:val="003E1D6E"/>
    <w:rsid w:val="003E4017"/>
    <w:rsid w:val="00425F9B"/>
    <w:rsid w:val="00477BFC"/>
    <w:rsid w:val="0048273F"/>
    <w:rsid w:val="004A6B38"/>
    <w:rsid w:val="004C60D6"/>
    <w:rsid w:val="004F3F25"/>
    <w:rsid w:val="00516222"/>
    <w:rsid w:val="00517A04"/>
    <w:rsid w:val="00530894"/>
    <w:rsid w:val="00532362"/>
    <w:rsid w:val="00534300"/>
    <w:rsid w:val="0055373C"/>
    <w:rsid w:val="005559C7"/>
    <w:rsid w:val="00560D08"/>
    <w:rsid w:val="00561CE6"/>
    <w:rsid w:val="00572AF9"/>
    <w:rsid w:val="00580131"/>
    <w:rsid w:val="005B7EBA"/>
    <w:rsid w:val="005C3593"/>
    <w:rsid w:val="005D0770"/>
    <w:rsid w:val="006442CB"/>
    <w:rsid w:val="00653A68"/>
    <w:rsid w:val="006541E6"/>
    <w:rsid w:val="00670849"/>
    <w:rsid w:val="00673F8C"/>
    <w:rsid w:val="00682E5E"/>
    <w:rsid w:val="006A65CB"/>
    <w:rsid w:val="006B6F63"/>
    <w:rsid w:val="006C6FF4"/>
    <w:rsid w:val="006D4AC5"/>
    <w:rsid w:val="00705614"/>
    <w:rsid w:val="00726155"/>
    <w:rsid w:val="00741666"/>
    <w:rsid w:val="00746842"/>
    <w:rsid w:val="007635F3"/>
    <w:rsid w:val="00766928"/>
    <w:rsid w:val="00771690"/>
    <w:rsid w:val="00785E41"/>
    <w:rsid w:val="00794D98"/>
    <w:rsid w:val="007B1AA3"/>
    <w:rsid w:val="007F1275"/>
    <w:rsid w:val="00803EF9"/>
    <w:rsid w:val="00833F11"/>
    <w:rsid w:val="008459E8"/>
    <w:rsid w:val="00857598"/>
    <w:rsid w:val="0086597E"/>
    <w:rsid w:val="008705D6"/>
    <w:rsid w:val="008804EF"/>
    <w:rsid w:val="008C676E"/>
    <w:rsid w:val="008E27B0"/>
    <w:rsid w:val="008E2A5C"/>
    <w:rsid w:val="008F3CCE"/>
    <w:rsid w:val="0090083E"/>
    <w:rsid w:val="0092177D"/>
    <w:rsid w:val="00922AC5"/>
    <w:rsid w:val="00950BD5"/>
    <w:rsid w:val="00961EAA"/>
    <w:rsid w:val="00965BC4"/>
    <w:rsid w:val="0097401E"/>
    <w:rsid w:val="00993153"/>
    <w:rsid w:val="009A2432"/>
    <w:rsid w:val="009A410B"/>
    <w:rsid w:val="009A48D6"/>
    <w:rsid w:val="009B3555"/>
    <w:rsid w:val="009C0EA5"/>
    <w:rsid w:val="009D2C78"/>
    <w:rsid w:val="009E099F"/>
    <w:rsid w:val="009E15F6"/>
    <w:rsid w:val="009F7F18"/>
    <w:rsid w:val="00A101A7"/>
    <w:rsid w:val="00A11D98"/>
    <w:rsid w:val="00A15EB5"/>
    <w:rsid w:val="00A2318F"/>
    <w:rsid w:val="00A33569"/>
    <w:rsid w:val="00A51AA8"/>
    <w:rsid w:val="00A611EF"/>
    <w:rsid w:val="00A640DC"/>
    <w:rsid w:val="00A64231"/>
    <w:rsid w:val="00A85C27"/>
    <w:rsid w:val="00AB6846"/>
    <w:rsid w:val="00AC1FE9"/>
    <w:rsid w:val="00AC39FA"/>
    <w:rsid w:val="00AC4783"/>
    <w:rsid w:val="00AE3752"/>
    <w:rsid w:val="00AE6522"/>
    <w:rsid w:val="00AF3AC3"/>
    <w:rsid w:val="00B051CA"/>
    <w:rsid w:val="00B07CFA"/>
    <w:rsid w:val="00B163E5"/>
    <w:rsid w:val="00B2175F"/>
    <w:rsid w:val="00B646C8"/>
    <w:rsid w:val="00B94548"/>
    <w:rsid w:val="00BD5545"/>
    <w:rsid w:val="00BD602B"/>
    <w:rsid w:val="00C0544D"/>
    <w:rsid w:val="00C05D9C"/>
    <w:rsid w:val="00C20DF2"/>
    <w:rsid w:val="00C333A8"/>
    <w:rsid w:val="00C34E8F"/>
    <w:rsid w:val="00C61B03"/>
    <w:rsid w:val="00C729FB"/>
    <w:rsid w:val="00C74485"/>
    <w:rsid w:val="00C80F79"/>
    <w:rsid w:val="00C85505"/>
    <w:rsid w:val="00C96E16"/>
    <w:rsid w:val="00CA72C0"/>
    <w:rsid w:val="00CE2490"/>
    <w:rsid w:val="00CF228F"/>
    <w:rsid w:val="00CF38A8"/>
    <w:rsid w:val="00CF7FBA"/>
    <w:rsid w:val="00D06D4A"/>
    <w:rsid w:val="00D14858"/>
    <w:rsid w:val="00D306E4"/>
    <w:rsid w:val="00D34491"/>
    <w:rsid w:val="00D479F7"/>
    <w:rsid w:val="00D50E02"/>
    <w:rsid w:val="00D51155"/>
    <w:rsid w:val="00D52C5D"/>
    <w:rsid w:val="00D702ED"/>
    <w:rsid w:val="00D75D4B"/>
    <w:rsid w:val="00D96F58"/>
    <w:rsid w:val="00DD51C2"/>
    <w:rsid w:val="00DD553C"/>
    <w:rsid w:val="00DF0BE9"/>
    <w:rsid w:val="00DF4CDE"/>
    <w:rsid w:val="00E27888"/>
    <w:rsid w:val="00E352CC"/>
    <w:rsid w:val="00E4430F"/>
    <w:rsid w:val="00E62B00"/>
    <w:rsid w:val="00E66CCB"/>
    <w:rsid w:val="00E74DA7"/>
    <w:rsid w:val="00E82C92"/>
    <w:rsid w:val="00E85FCB"/>
    <w:rsid w:val="00E863F7"/>
    <w:rsid w:val="00E94C2E"/>
    <w:rsid w:val="00EC7EA3"/>
    <w:rsid w:val="00ED33E3"/>
    <w:rsid w:val="00EE66D2"/>
    <w:rsid w:val="00EE79CD"/>
    <w:rsid w:val="00EF354D"/>
    <w:rsid w:val="00F17D71"/>
    <w:rsid w:val="00F21E33"/>
    <w:rsid w:val="00F22346"/>
    <w:rsid w:val="00F31852"/>
    <w:rsid w:val="00F32BE0"/>
    <w:rsid w:val="00F422C9"/>
    <w:rsid w:val="00F624AC"/>
    <w:rsid w:val="00F6608D"/>
    <w:rsid w:val="00F8678F"/>
    <w:rsid w:val="00F87525"/>
    <w:rsid w:val="00F9339F"/>
    <w:rsid w:val="00FA112D"/>
    <w:rsid w:val="00FA225A"/>
    <w:rsid w:val="00FB403E"/>
    <w:rsid w:val="00FC2929"/>
    <w:rsid w:val="00FD1817"/>
    <w:rsid w:val="00FD2938"/>
    <w:rsid w:val="00FD2989"/>
    <w:rsid w:val="00FD5FAD"/>
    <w:rsid w:val="00FD7278"/>
    <w:rsid w:val="00FE4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80F79"/>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86597E"/>
    <w:pPr>
      <w:ind w:left="720"/>
      <w:contextualSpacing/>
    </w:pPr>
  </w:style>
  <w:style w:type="paragraph" w:styleId="BalloonText">
    <w:name w:val="Balloon Text"/>
    <w:basedOn w:val="Normal"/>
    <w:link w:val="BalloonTextChar"/>
    <w:rsid w:val="000F393E"/>
    <w:rPr>
      <w:rFonts w:ascii="Tahoma" w:hAnsi="Tahoma" w:cs="Tahoma"/>
      <w:sz w:val="16"/>
      <w:szCs w:val="16"/>
    </w:rPr>
  </w:style>
  <w:style w:type="character" w:customStyle="1" w:styleId="BalloonTextChar">
    <w:name w:val="Balloon Text Char"/>
    <w:basedOn w:val="DefaultParagraphFont"/>
    <w:link w:val="BalloonText"/>
    <w:rsid w:val="000F393E"/>
    <w:rPr>
      <w:rFonts w:ascii="Tahoma" w:hAnsi="Tahoma" w:cs="Tahoma"/>
      <w:sz w:val="16"/>
      <w:szCs w:val="16"/>
      <w:lang w:eastAsia="en-US" w:bidi="lo-LA"/>
    </w:rPr>
  </w:style>
  <w:style w:type="paragraph" w:styleId="Header">
    <w:name w:val="header"/>
    <w:basedOn w:val="Normal"/>
    <w:link w:val="HeaderChar"/>
    <w:uiPriority w:val="99"/>
    <w:rsid w:val="000F393E"/>
    <w:pPr>
      <w:tabs>
        <w:tab w:val="center" w:pos="4153"/>
        <w:tab w:val="right" w:pos="8306"/>
      </w:tabs>
    </w:pPr>
  </w:style>
  <w:style w:type="character" w:customStyle="1" w:styleId="HeaderChar">
    <w:name w:val="Header Char"/>
    <w:basedOn w:val="DefaultParagraphFont"/>
    <w:link w:val="Header"/>
    <w:uiPriority w:val="99"/>
    <w:rsid w:val="000F393E"/>
    <w:rPr>
      <w:rFonts w:cs="Arial Unicode MS"/>
      <w:lang w:eastAsia="en-US" w:bidi="lo-LA"/>
    </w:rPr>
  </w:style>
  <w:style w:type="paragraph" w:styleId="Footer">
    <w:name w:val="footer"/>
    <w:basedOn w:val="Normal"/>
    <w:link w:val="FooterChar"/>
    <w:rsid w:val="000F393E"/>
    <w:pPr>
      <w:tabs>
        <w:tab w:val="center" w:pos="4153"/>
        <w:tab w:val="right" w:pos="8306"/>
      </w:tabs>
    </w:pPr>
  </w:style>
  <w:style w:type="character" w:customStyle="1" w:styleId="FooterChar">
    <w:name w:val="Footer Char"/>
    <w:basedOn w:val="DefaultParagraphFont"/>
    <w:link w:val="Footer"/>
    <w:uiPriority w:val="99"/>
    <w:rsid w:val="000F393E"/>
    <w:rPr>
      <w:rFonts w:cs="Arial Unicode MS"/>
      <w:lang w:eastAsia="en-US" w:bidi="lo-LA"/>
    </w:rPr>
  </w:style>
  <w:style w:type="character" w:styleId="CommentReference">
    <w:name w:val="annotation reference"/>
    <w:basedOn w:val="DefaultParagraphFont"/>
    <w:rsid w:val="000F393E"/>
    <w:rPr>
      <w:sz w:val="16"/>
      <w:szCs w:val="16"/>
    </w:rPr>
  </w:style>
  <w:style w:type="paragraph" w:styleId="CommentText">
    <w:name w:val="annotation text"/>
    <w:basedOn w:val="Normal"/>
    <w:link w:val="CommentTextChar"/>
    <w:rsid w:val="000F393E"/>
  </w:style>
  <w:style w:type="character" w:customStyle="1" w:styleId="CommentTextChar">
    <w:name w:val="Comment Text Char"/>
    <w:basedOn w:val="DefaultParagraphFont"/>
    <w:link w:val="CommentText"/>
    <w:rsid w:val="000F393E"/>
    <w:rPr>
      <w:rFonts w:cs="Arial Unicode MS"/>
      <w:lang w:eastAsia="en-US" w:bidi="lo-LA"/>
    </w:rPr>
  </w:style>
  <w:style w:type="paragraph" w:styleId="CommentSubject">
    <w:name w:val="annotation subject"/>
    <w:basedOn w:val="CommentText"/>
    <w:next w:val="CommentText"/>
    <w:link w:val="CommentSubjectChar"/>
    <w:rsid w:val="000F393E"/>
    <w:rPr>
      <w:b/>
      <w:bCs/>
    </w:rPr>
  </w:style>
  <w:style w:type="character" w:customStyle="1" w:styleId="CommentSubjectChar">
    <w:name w:val="Comment Subject Char"/>
    <w:basedOn w:val="CommentTextChar"/>
    <w:link w:val="CommentSubject"/>
    <w:rsid w:val="000F393E"/>
    <w:rPr>
      <w:rFonts w:cs="Arial Unicode MS"/>
      <w:b/>
      <w:bCs/>
      <w:lang w:eastAsia="en-US" w:bidi="lo-LA"/>
    </w:rPr>
  </w:style>
  <w:style w:type="paragraph" w:styleId="NormalWeb">
    <w:name w:val="Normal (Web)"/>
    <w:basedOn w:val="Normal"/>
    <w:rsid w:val="00B2175F"/>
    <w:pPr>
      <w:spacing w:before="100" w:beforeAutospacing="1" w:after="100" w:afterAutospacing="1"/>
    </w:pPr>
    <w:rPr>
      <w:rFonts w:ascii="Verdana" w:hAnsi="Verdana" w:cs="Times New Roman"/>
      <w:sz w:val="18"/>
      <w:szCs w:val="18"/>
      <w:lang w:eastAsia="lv-LV" w:bidi="ar-SA"/>
    </w:rPr>
  </w:style>
  <w:style w:type="paragraph" w:customStyle="1" w:styleId="tv2132">
    <w:name w:val="tv2132"/>
    <w:basedOn w:val="Normal"/>
    <w:rsid w:val="00D34491"/>
    <w:pPr>
      <w:spacing w:line="360" w:lineRule="auto"/>
      <w:ind w:firstLine="300"/>
    </w:pPr>
    <w:rPr>
      <w:rFonts w:cs="Times New Roman"/>
      <w:color w:val="41414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80F79"/>
    <w:pPr>
      <w:spacing w:before="75" w:after="75"/>
      <w:ind w:firstLine="375"/>
      <w:jc w:val="both"/>
    </w:pPr>
    <w:rPr>
      <w:rFonts w:cs="Times New Roman"/>
      <w:sz w:val="24"/>
      <w:szCs w:val="24"/>
      <w:lang w:eastAsia="lv-LV" w:bidi="ar-SA"/>
    </w:rPr>
  </w:style>
  <w:style w:type="paragraph" w:styleId="ListParagraph">
    <w:name w:val="List Paragraph"/>
    <w:basedOn w:val="Normal"/>
    <w:uiPriority w:val="34"/>
    <w:qFormat/>
    <w:rsid w:val="0086597E"/>
    <w:pPr>
      <w:ind w:left="720"/>
      <w:contextualSpacing/>
    </w:pPr>
  </w:style>
  <w:style w:type="paragraph" w:styleId="BalloonText">
    <w:name w:val="Balloon Text"/>
    <w:basedOn w:val="Normal"/>
    <w:link w:val="BalloonTextChar"/>
    <w:rsid w:val="000F393E"/>
    <w:rPr>
      <w:rFonts w:ascii="Tahoma" w:hAnsi="Tahoma" w:cs="Tahoma"/>
      <w:sz w:val="16"/>
      <w:szCs w:val="16"/>
    </w:rPr>
  </w:style>
  <w:style w:type="character" w:customStyle="1" w:styleId="BalloonTextChar">
    <w:name w:val="Balloon Text Char"/>
    <w:basedOn w:val="DefaultParagraphFont"/>
    <w:link w:val="BalloonText"/>
    <w:rsid w:val="000F393E"/>
    <w:rPr>
      <w:rFonts w:ascii="Tahoma" w:hAnsi="Tahoma" w:cs="Tahoma"/>
      <w:sz w:val="16"/>
      <w:szCs w:val="16"/>
      <w:lang w:eastAsia="en-US" w:bidi="lo-LA"/>
    </w:rPr>
  </w:style>
  <w:style w:type="paragraph" w:styleId="Header">
    <w:name w:val="header"/>
    <w:basedOn w:val="Normal"/>
    <w:link w:val="HeaderChar"/>
    <w:uiPriority w:val="99"/>
    <w:rsid w:val="000F393E"/>
    <w:pPr>
      <w:tabs>
        <w:tab w:val="center" w:pos="4153"/>
        <w:tab w:val="right" w:pos="8306"/>
      </w:tabs>
    </w:pPr>
  </w:style>
  <w:style w:type="character" w:customStyle="1" w:styleId="HeaderChar">
    <w:name w:val="Header Char"/>
    <w:basedOn w:val="DefaultParagraphFont"/>
    <w:link w:val="Header"/>
    <w:uiPriority w:val="99"/>
    <w:rsid w:val="000F393E"/>
    <w:rPr>
      <w:rFonts w:cs="Arial Unicode MS"/>
      <w:lang w:eastAsia="en-US" w:bidi="lo-LA"/>
    </w:rPr>
  </w:style>
  <w:style w:type="paragraph" w:styleId="Footer">
    <w:name w:val="footer"/>
    <w:basedOn w:val="Normal"/>
    <w:link w:val="FooterChar"/>
    <w:rsid w:val="000F393E"/>
    <w:pPr>
      <w:tabs>
        <w:tab w:val="center" w:pos="4153"/>
        <w:tab w:val="right" w:pos="8306"/>
      </w:tabs>
    </w:pPr>
  </w:style>
  <w:style w:type="character" w:customStyle="1" w:styleId="FooterChar">
    <w:name w:val="Footer Char"/>
    <w:basedOn w:val="DefaultParagraphFont"/>
    <w:link w:val="Footer"/>
    <w:uiPriority w:val="99"/>
    <w:rsid w:val="000F393E"/>
    <w:rPr>
      <w:rFonts w:cs="Arial Unicode MS"/>
      <w:lang w:eastAsia="en-US" w:bidi="lo-LA"/>
    </w:rPr>
  </w:style>
  <w:style w:type="character" w:styleId="CommentReference">
    <w:name w:val="annotation reference"/>
    <w:basedOn w:val="DefaultParagraphFont"/>
    <w:rsid w:val="000F393E"/>
    <w:rPr>
      <w:sz w:val="16"/>
      <w:szCs w:val="16"/>
    </w:rPr>
  </w:style>
  <w:style w:type="paragraph" w:styleId="CommentText">
    <w:name w:val="annotation text"/>
    <w:basedOn w:val="Normal"/>
    <w:link w:val="CommentTextChar"/>
    <w:rsid w:val="000F393E"/>
  </w:style>
  <w:style w:type="character" w:customStyle="1" w:styleId="CommentTextChar">
    <w:name w:val="Comment Text Char"/>
    <w:basedOn w:val="DefaultParagraphFont"/>
    <w:link w:val="CommentText"/>
    <w:rsid w:val="000F393E"/>
    <w:rPr>
      <w:rFonts w:cs="Arial Unicode MS"/>
      <w:lang w:eastAsia="en-US" w:bidi="lo-LA"/>
    </w:rPr>
  </w:style>
  <w:style w:type="paragraph" w:styleId="CommentSubject">
    <w:name w:val="annotation subject"/>
    <w:basedOn w:val="CommentText"/>
    <w:next w:val="CommentText"/>
    <w:link w:val="CommentSubjectChar"/>
    <w:rsid w:val="000F393E"/>
    <w:rPr>
      <w:b/>
      <w:bCs/>
    </w:rPr>
  </w:style>
  <w:style w:type="character" w:customStyle="1" w:styleId="CommentSubjectChar">
    <w:name w:val="Comment Subject Char"/>
    <w:basedOn w:val="CommentTextChar"/>
    <w:link w:val="CommentSubject"/>
    <w:rsid w:val="000F393E"/>
    <w:rPr>
      <w:rFonts w:cs="Arial Unicode MS"/>
      <w:b/>
      <w:bCs/>
      <w:lang w:eastAsia="en-US" w:bidi="lo-LA"/>
    </w:rPr>
  </w:style>
  <w:style w:type="paragraph" w:styleId="NormalWeb">
    <w:name w:val="Normal (Web)"/>
    <w:basedOn w:val="Normal"/>
    <w:rsid w:val="00B2175F"/>
    <w:pPr>
      <w:spacing w:before="100" w:beforeAutospacing="1" w:after="100" w:afterAutospacing="1"/>
    </w:pPr>
    <w:rPr>
      <w:rFonts w:ascii="Verdana" w:hAnsi="Verdana" w:cs="Times New Roman"/>
      <w:sz w:val="18"/>
      <w:szCs w:val="18"/>
      <w:lang w:eastAsia="lv-LV" w:bidi="ar-SA"/>
    </w:rPr>
  </w:style>
  <w:style w:type="paragraph" w:customStyle="1" w:styleId="tv2132">
    <w:name w:val="tv2132"/>
    <w:basedOn w:val="Normal"/>
    <w:rsid w:val="00D34491"/>
    <w:pPr>
      <w:spacing w:line="360" w:lineRule="auto"/>
      <w:ind w:firstLine="300"/>
    </w:pPr>
    <w:rPr>
      <w:rFonts w:cs="Times New Roman"/>
      <w:color w:val="41414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5685">
      <w:bodyDiv w:val="1"/>
      <w:marLeft w:val="0"/>
      <w:marRight w:val="0"/>
      <w:marTop w:val="0"/>
      <w:marBottom w:val="0"/>
      <w:divBdr>
        <w:top w:val="none" w:sz="0" w:space="0" w:color="auto"/>
        <w:left w:val="none" w:sz="0" w:space="0" w:color="auto"/>
        <w:bottom w:val="none" w:sz="0" w:space="0" w:color="auto"/>
        <w:right w:val="none" w:sz="0" w:space="0" w:color="auto"/>
      </w:divBdr>
      <w:divsChild>
        <w:div w:id="832065906">
          <w:marLeft w:val="0"/>
          <w:marRight w:val="0"/>
          <w:marTop w:val="0"/>
          <w:marBottom w:val="0"/>
          <w:divBdr>
            <w:top w:val="none" w:sz="0" w:space="0" w:color="auto"/>
            <w:left w:val="none" w:sz="0" w:space="0" w:color="auto"/>
            <w:bottom w:val="none" w:sz="0" w:space="0" w:color="auto"/>
            <w:right w:val="none" w:sz="0" w:space="0" w:color="auto"/>
          </w:divBdr>
          <w:divsChild>
            <w:div w:id="2087412457">
              <w:marLeft w:val="0"/>
              <w:marRight w:val="0"/>
              <w:marTop w:val="0"/>
              <w:marBottom w:val="0"/>
              <w:divBdr>
                <w:top w:val="none" w:sz="0" w:space="0" w:color="auto"/>
                <w:left w:val="none" w:sz="0" w:space="0" w:color="auto"/>
                <w:bottom w:val="none" w:sz="0" w:space="0" w:color="auto"/>
                <w:right w:val="none" w:sz="0" w:space="0" w:color="auto"/>
              </w:divBdr>
              <w:divsChild>
                <w:div w:id="305477699">
                  <w:marLeft w:val="0"/>
                  <w:marRight w:val="0"/>
                  <w:marTop w:val="0"/>
                  <w:marBottom w:val="0"/>
                  <w:divBdr>
                    <w:top w:val="none" w:sz="0" w:space="0" w:color="auto"/>
                    <w:left w:val="none" w:sz="0" w:space="0" w:color="auto"/>
                    <w:bottom w:val="none" w:sz="0" w:space="0" w:color="auto"/>
                    <w:right w:val="none" w:sz="0" w:space="0" w:color="auto"/>
                  </w:divBdr>
                  <w:divsChild>
                    <w:div w:id="978338547">
                      <w:marLeft w:val="0"/>
                      <w:marRight w:val="0"/>
                      <w:marTop w:val="0"/>
                      <w:marBottom w:val="0"/>
                      <w:divBdr>
                        <w:top w:val="none" w:sz="0" w:space="0" w:color="auto"/>
                        <w:left w:val="none" w:sz="0" w:space="0" w:color="auto"/>
                        <w:bottom w:val="none" w:sz="0" w:space="0" w:color="auto"/>
                        <w:right w:val="none" w:sz="0" w:space="0" w:color="auto"/>
                      </w:divBdr>
                      <w:divsChild>
                        <w:div w:id="1736972233">
                          <w:marLeft w:val="0"/>
                          <w:marRight w:val="0"/>
                          <w:marTop w:val="0"/>
                          <w:marBottom w:val="0"/>
                          <w:divBdr>
                            <w:top w:val="none" w:sz="0" w:space="0" w:color="auto"/>
                            <w:left w:val="none" w:sz="0" w:space="0" w:color="auto"/>
                            <w:bottom w:val="none" w:sz="0" w:space="0" w:color="auto"/>
                            <w:right w:val="none" w:sz="0" w:space="0" w:color="auto"/>
                          </w:divBdr>
                          <w:divsChild>
                            <w:div w:id="1630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29462">
      <w:bodyDiv w:val="1"/>
      <w:marLeft w:val="0"/>
      <w:marRight w:val="0"/>
      <w:marTop w:val="0"/>
      <w:marBottom w:val="0"/>
      <w:divBdr>
        <w:top w:val="none" w:sz="0" w:space="0" w:color="auto"/>
        <w:left w:val="none" w:sz="0" w:space="0" w:color="auto"/>
        <w:bottom w:val="none" w:sz="0" w:space="0" w:color="auto"/>
        <w:right w:val="none" w:sz="0" w:space="0" w:color="auto"/>
      </w:divBdr>
    </w:div>
    <w:div w:id="2132936410">
      <w:bodyDiv w:val="1"/>
      <w:marLeft w:val="0"/>
      <w:marRight w:val="0"/>
      <w:marTop w:val="0"/>
      <w:marBottom w:val="0"/>
      <w:divBdr>
        <w:top w:val="none" w:sz="0" w:space="0" w:color="auto"/>
        <w:left w:val="none" w:sz="0" w:space="0" w:color="auto"/>
        <w:bottom w:val="none" w:sz="0" w:space="0" w:color="auto"/>
        <w:right w:val="none" w:sz="0" w:space="0" w:color="auto"/>
      </w:divBdr>
      <w:divsChild>
        <w:div w:id="643197062">
          <w:marLeft w:val="0"/>
          <w:marRight w:val="0"/>
          <w:marTop w:val="0"/>
          <w:marBottom w:val="0"/>
          <w:divBdr>
            <w:top w:val="none" w:sz="0" w:space="0" w:color="auto"/>
            <w:left w:val="none" w:sz="0" w:space="0" w:color="auto"/>
            <w:bottom w:val="none" w:sz="0" w:space="0" w:color="auto"/>
            <w:right w:val="none" w:sz="0" w:space="0" w:color="auto"/>
          </w:divBdr>
          <w:divsChild>
            <w:div w:id="1373308549">
              <w:marLeft w:val="0"/>
              <w:marRight w:val="0"/>
              <w:marTop w:val="0"/>
              <w:marBottom w:val="0"/>
              <w:divBdr>
                <w:top w:val="none" w:sz="0" w:space="0" w:color="auto"/>
                <w:left w:val="none" w:sz="0" w:space="0" w:color="auto"/>
                <w:bottom w:val="none" w:sz="0" w:space="0" w:color="auto"/>
                <w:right w:val="none" w:sz="0" w:space="0" w:color="auto"/>
              </w:divBdr>
              <w:divsChild>
                <w:div w:id="2060473792">
                  <w:marLeft w:val="0"/>
                  <w:marRight w:val="0"/>
                  <w:marTop w:val="0"/>
                  <w:marBottom w:val="0"/>
                  <w:divBdr>
                    <w:top w:val="none" w:sz="0" w:space="0" w:color="auto"/>
                    <w:left w:val="none" w:sz="0" w:space="0" w:color="auto"/>
                    <w:bottom w:val="none" w:sz="0" w:space="0" w:color="auto"/>
                    <w:right w:val="none" w:sz="0" w:space="0" w:color="auto"/>
                  </w:divBdr>
                  <w:divsChild>
                    <w:div w:id="1326669670">
                      <w:marLeft w:val="0"/>
                      <w:marRight w:val="0"/>
                      <w:marTop w:val="0"/>
                      <w:marBottom w:val="0"/>
                      <w:divBdr>
                        <w:top w:val="none" w:sz="0" w:space="0" w:color="auto"/>
                        <w:left w:val="none" w:sz="0" w:space="0" w:color="auto"/>
                        <w:bottom w:val="none" w:sz="0" w:space="0" w:color="auto"/>
                        <w:right w:val="none" w:sz="0" w:space="0" w:color="auto"/>
                      </w:divBdr>
                      <w:divsChild>
                        <w:div w:id="2125609151">
                          <w:marLeft w:val="0"/>
                          <w:marRight w:val="0"/>
                          <w:marTop w:val="0"/>
                          <w:marBottom w:val="0"/>
                          <w:divBdr>
                            <w:top w:val="none" w:sz="0" w:space="0" w:color="auto"/>
                            <w:left w:val="none" w:sz="0" w:space="0" w:color="auto"/>
                            <w:bottom w:val="none" w:sz="0" w:space="0" w:color="auto"/>
                            <w:right w:val="none" w:sz="0" w:space="0" w:color="auto"/>
                          </w:divBdr>
                          <w:divsChild>
                            <w:div w:id="1169364917">
                              <w:marLeft w:val="0"/>
                              <w:marRight w:val="0"/>
                              <w:marTop w:val="400"/>
                              <w:marBottom w:val="0"/>
                              <w:divBdr>
                                <w:top w:val="none" w:sz="0" w:space="0" w:color="auto"/>
                                <w:left w:val="none" w:sz="0" w:space="0" w:color="auto"/>
                                <w:bottom w:val="none" w:sz="0" w:space="0" w:color="auto"/>
                                <w:right w:val="none" w:sz="0" w:space="0" w:color="auto"/>
                              </w:divBdr>
                            </w:div>
                            <w:div w:id="1163620887">
                              <w:marLeft w:val="0"/>
                              <w:marRight w:val="0"/>
                              <w:marTop w:val="240"/>
                              <w:marBottom w:val="0"/>
                              <w:divBdr>
                                <w:top w:val="none" w:sz="0" w:space="0" w:color="auto"/>
                                <w:left w:val="none" w:sz="0" w:space="0" w:color="auto"/>
                                <w:bottom w:val="none" w:sz="0" w:space="0" w:color="auto"/>
                                <w:right w:val="none" w:sz="0" w:space="0" w:color="auto"/>
                              </w:divBdr>
                            </w:div>
                          </w:divsChild>
                        </w:div>
                        <w:div w:id="172452220">
                          <w:marLeft w:val="0"/>
                          <w:marRight w:val="0"/>
                          <w:marTop w:val="0"/>
                          <w:marBottom w:val="0"/>
                          <w:divBdr>
                            <w:top w:val="none" w:sz="0" w:space="0" w:color="auto"/>
                            <w:left w:val="none" w:sz="0" w:space="0" w:color="auto"/>
                            <w:bottom w:val="none" w:sz="0" w:space="0" w:color="auto"/>
                            <w:right w:val="none" w:sz="0" w:space="0" w:color="auto"/>
                          </w:divBdr>
                          <w:divsChild>
                            <w:div w:id="684017349">
                              <w:marLeft w:val="0"/>
                              <w:marRight w:val="0"/>
                              <w:marTop w:val="0"/>
                              <w:marBottom w:val="0"/>
                              <w:divBdr>
                                <w:top w:val="none" w:sz="0" w:space="0" w:color="auto"/>
                                <w:left w:val="none" w:sz="0" w:space="0" w:color="auto"/>
                                <w:bottom w:val="none" w:sz="0" w:space="0" w:color="auto"/>
                                <w:right w:val="none" w:sz="0" w:space="0" w:color="auto"/>
                              </w:divBdr>
                              <w:divsChild>
                                <w:div w:id="450824230">
                                  <w:marLeft w:val="0"/>
                                  <w:marRight w:val="0"/>
                                  <w:marTop w:val="0"/>
                                  <w:marBottom w:val="0"/>
                                  <w:divBdr>
                                    <w:top w:val="none" w:sz="0" w:space="0" w:color="auto"/>
                                    <w:left w:val="none" w:sz="0" w:space="0" w:color="auto"/>
                                    <w:bottom w:val="none" w:sz="0" w:space="0" w:color="auto"/>
                                    <w:right w:val="none" w:sz="0" w:space="0" w:color="auto"/>
                                  </w:divBdr>
                                </w:div>
                                <w:div w:id="703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6309">
                          <w:marLeft w:val="0"/>
                          <w:marRight w:val="0"/>
                          <w:marTop w:val="300"/>
                          <w:marBottom w:val="0"/>
                          <w:divBdr>
                            <w:top w:val="none" w:sz="0" w:space="0" w:color="auto"/>
                            <w:left w:val="none" w:sz="0" w:space="0" w:color="auto"/>
                            <w:bottom w:val="none" w:sz="0" w:space="0" w:color="auto"/>
                            <w:right w:val="none" w:sz="0" w:space="0" w:color="auto"/>
                          </w:divBdr>
                          <w:divsChild>
                            <w:div w:id="1623880368">
                              <w:marLeft w:val="0"/>
                              <w:marRight w:val="0"/>
                              <w:marTop w:val="0"/>
                              <w:marBottom w:val="0"/>
                              <w:divBdr>
                                <w:top w:val="none" w:sz="0" w:space="0" w:color="auto"/>
                                <w:left w:val="none" w:sz="0" w:space="0" w:color="auto"/>
                                <w:bottom w:val="none" w:sz="0" w:space="0" w:color="auto"/>
                                <w:right w:val="none" w:sz="0" w:space="0" w:color="auto"/>
                              </w:divBdr>
                            </w:div>
                            <w:div w:id="1528835277">
                              <w:marLeft w:val="0"/>
                              <w:marRight w:val="0"/>
                              <w:marTop w:val="0"/>
                              <w:marBottom w:val="0"/>
                              <w:divBdr>
                                <w:top w:val="none" w:sz="0" w:space="0" w:color="auto"/>
                                <w:left w:val="none" w:sz="0" w:space="0" w:color="auto"/>
                                <w:bottom w:val="none" w:sz="0" w:space="0" w:color="auto"/>
                                <w:right w:val="none" w:sz="0" w:space="0" w:color="auto"/>
                              </w:divBdr>
                              <w:divsChild>
                                <w:div w:id="556597937">
                                  <w:marLeft w:val="0"/>
                                  <w:marRight w:val="0"/>
                                  <w:marTop w:val="0"/>
                                  <w:marBottom w:val="0"/>
                                  <w:divBdr>
                                    <w:top w:val="none" w:sz="0" w:space="0" w:color="auto"/>
                                    <w:left w:val="none" w:sz="0" w:space="0" w:color="auto"/>
                                    <w:bottom w:val="none" w:sz="0" w:space="0" w:color="auto"/>
                                    <w:right w:val="none" w:sz="0" w:space="0" w:color="auto"/>
                                  </w:divBdr>
                                  <w:divsChild>
                                    <w:div w:id="1749039639">
                                      <w:marLeft w:val="0"/>
                                      <w:marRight w:val="0"/>
                                      <w:marTop w:val="0"/>
                                      <w:marBottom w:val="0"/>
                                      <w:divBdr>
                                        <w:top w:val="none" w:sz="0" w:space="0" w:color="auto"/>
                                        <w:left w:val="none" w:sz="0" w:space="0" w:color="auto"/>
                                        <w:bottom w:val="none" w:sz="0" w:space="0" w:color="auto"/>
                                        <w:right w:val="none" w:sz="0" w:space="0" w:color="auto"/>
                                      </w:divBdr>
                                      <w:divsChild>
                                        <w:div w:id="1419326165">
                                          <w:marLeft w:val="0"/>
                                          <w:marRight w:val="0"/>
                                          <w:marTop w:val="0"/>
                                          <w:marBottom w:val="0"/>
                                          <w:divBdr>
                                            <w:top w:val="none" w:sz="0" w:space="0" w:color="auto"/>
                                            <w:left w:val="none" w:sz="0" w:space="0" w:color="auto"/>
                                            <w:bottom w:val="none" w:sz="0" w:space="0" w:color="auto"/>
                                            <w:right w:val="none" w:sz="0" w:space="0" w:color="auto"/>
                                          </w:divBdr>
                                        </w:div>
                                        <w:div w:id="999887751">
                                          <w:marLeft w:val="0"/>
                                          <w:marRight w:val="0"/>
                                          <w:marTop w:val="0"/>
                                          <w:marBottom w:val="0"/>
                                          <w:divBdr>
                                            <w:top w:val="none" w:sz="0" w:space="0" w:color="auto"/>
                                            <w:left w:val="none" w:sz="0" w:space="0" w:color="auto"/>
                                            <w:bottom w:val="none" w:sz="0" w:space="0" w:color="auto"/>
                                            <w:right w:val="none" w:sz="0" w:space="0" w:color="auto"/>
                                          </w:divBdr>
                                        </w:div>
                                        <w:div w:id="1016735785">
                                          <w:marLeft w:val="0"/>
                                          <w:marRight w:val="0"/>
                                          <w:marTop w:val="0"/>
                                          <w:marBottom w:val="0"/>
                                          <w:divBdr>
                                            <w:top w:val="none" w:sz="0" w:space="0" w:color="auto"/>
                                            <w:left w:val="none" w:sz="0" w:space="0" w:color="auto"/>
                                            <w:bottom w:val="none" w:sz="0" w:space="0" w:color="auto"/>
                                            <w:right w:val="none" w:sz="0" w:space="0" w:color="auto"/>
                                          </w:divBdr>
                                        </w:div>
                                        <w:div w:id="1243221984">
                                          <w:marLeft w:val="0"/>
                                          <w:marRight w:val="0"/>
                                          <w:marTop w:val="0"/>
                                          <w:marBottom w:val="0"/>
                                          <w:divBdr>
                                            <w:top w:val="none" w:sz="0" w:space="0" w:color="auto"/>
                                            <w:left w:val="none" w:sz="0" w:space="0" w:color="auto"/>
                                            <w:bottom w:val="none" w:sz="0" w:space="0" w:color="auto"/>
                                            <w:right w:val="none" w:sz="0" w:space="0" w:color="auto"/>
                                          </w:divBdr>
                                        </w:div>
                                        <w:div w:id="251670079">
                                          <w:marLeft w:val="0"/>
                                          <w:marRight w:val="0"/>
                                          <w:marTop w:val="0"/>
                                          <w:marBottom w:val="0"/>
                                          <w:divBdr>
                                            <w:top w:val="none" w:sz="0" w:space="0" w:color="auto"/>
                                            <w:left w:val="none" w:sz="0" w:space="0" w:color="auto"/>
                                            <w:bottom w:val="none" w:sz="0" w:space="0" w:color="auto"/>
                                            <w:right w:val="none" w:sz="0" w:space="0" w:color="auto"/>
                                          </w:divBdr>
                                        </w:div>
                                        <w:div w:id="768162071">
                                          <w:marLeft w:val="0"/>
                                          <w:marRight w:val="0"/>
                                          <w:marTop w:val="0"/>
                                          <w:marBottom w:val="0"/>
                                          <w:divBdr>
                                            <w:top w:val="none" w:sz="0" w:space="0" w:color="auto"/>
                                            <w:left w:val="none" w:sz="0" w:space="0" w:color="auto"/>
                                            <w:bottom w:val="none" w:sz="0" w:space="0" w:color="auto"/>
                                            <w:right w:val="none" w:sz="0" w:space="0" w:color="auto"/>
                                          </w:divBdr>
                                        </w:div>
                                        <w:div w:id="832336924">
                                          <w:marLeft w:val="0"/>
                                          <w:marRight w:val="0"/>
                                          <w:marTop w:val="0"/>
                                          <w:marBottom w:val="0"/>
                                          <w:divBdr>
                                            <w:top w:val="none" w:sz="0" w:space="0" w:color="auto"/>
                                            <w:left w:val="none" w:sz="0" w:space="0" w:color="auto"/>
                                            <w:bottom w:val="none" w:sz="0" w:space="0" w:color="auto"/>
                                            <w:right w:val="none" w:sz="0" w:space="0" w:color="auto"/>
                                          </w:divBdr>
                                        </w:div>
                                        <w:div w:id="35668271">
                                          <w:marLeft w:val="0"/>
                                          <w:marRight w:val="0"/>
                                          <w:marTop w:val="0"/>
                                          <w:marBottom w:val="0"/>
                                          <w:divBdr>
                                            <w:top w:val="none" w:sz="0" w:space="0" w:color="auto"/>
                                            <w:left w:val="none" w:sz="0" w:space="0" w:color="auto"/>
                                            <w:bottom w:val="none" w:sz="0" w:space="0" w:color="auto"/>
                                            <w:right w:val="none" w:sz="0" w:space="0" w:color="auto"/>
                                          </w:divBdr>
                                        </w:div>
                                        <w:div w:id="816533505">
                                          <w:marLeft w:val="0"/>
                                          <w:marRight w:val="0"/>
                                          <w:marTop w:val="0"/>
                                          <w:marBottom w:val="0"/>
                                          <w:divBdr>
                                            <w:top w:val="none" w:sz="0" w:space="0" w:color="auto"/>
                                            <w:left w:val="none" w:sz="0" w:space="0" w:color="auto"/>
                                            <w:bottom w:val="none" w:sz="0" w:space="0" w:color="auto"/>
                                            <w:right w:val="none" w:sz="0" w:space="0" w:color="auto"/>
                                          </w:divBdr>
                                        </w:div>
                                        <w:div w:id="15257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1172">
                          <w:marLeft w:val="0"/>
                          <w:marRight w:val="0"/>
                          <w:marTop w:val="300"/>
                          <w:marBottom w:val="0"/>
                          <w:divBdr>
                            <w:top w:val="none" w:sz="0" w:space="0" w:color="auto"/>
                            <w:left w:val="none" w:sz="0" w:space="0" w:color="auto"/>
                            <w:bottom w:val="none" w:sz="0" w:space="0" w:color="auto"/>
                            <w:right w:val="none" w:sz="0" w:space="0" w:color="auto"/>
                          </w:divBdr>
                          <w:divsChild>
                            <w:div w:id="1841038837">
                              <w:marLeft w:val="0"/>
                              <w:marRight w:val="0"/>
                              <w:marTop w:val="0"/>
                              <w:marBottom w:val="0"/>
                              <w:divBdr>
                                <w:top w:val="none" w:sz="0" w:space="0" w:color="auto"/>
                                <w:left w:val="none" w:sz="0" w:space="0" w:color="auto"/>
                                <w:bottom w:val="none" w:sz="0" w:space="0" w:color="auto"/>
                                <w:right w:val="none" w:sz="0" w:space="0" w:color="auto"/>
                              </w:divBdr>
                            </w:div>
                            <w:div w:id="1504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7412">
                  <w:marLeft w:val="0"/>
                  <w:marRight w:val="0"/>
                  <w:marTop w:val="0"/>
                  <w:marBottom w:val="0"/>
                  <w:divBdr>
                    <w:top w:val="none" w:sz="0" w:space="0" w:color="auto"/>
                    <w:left w:val="none" w:sz="0" w:space="0" w:color="auto"/>
                    <w:bottom w:val="none" w:sz="0" w:space="0" w:color="auto"/>
                    <w:right w:val="none" w:sz="0" w:space="0" w:color="auto"/>
                  </w:divBdr>
                  <w:divsChild>
                    <w:div w:id="1259555887">
                      <w:marLeft w:val="0"/>
                      <w:marRight w:val="0"/>
                      <w:marTop w:val="0"/>
                      <w:marBottom w:val="0"/>
                      <w:divBdr>
                        <w:top w:val="none" w:sz="0" w:space="0" w:color="auto"/>
                        <w:left w:val="none" w:sz="0" w:space="0" w:color="auto"/>
                        <w:bottom w:val="none" w:sz="0" w:space="0" w:color="auto"/>
                        <w:right w:val="none" w:sz="0" w:space="0" w:color="auto"/>
                      </w:divBdr>
                    </w:div>
                    <w:div w:id="888346969">
                      <w:marLeft w:val="0"/>
                      <w:marRight w:val="0"/>
                      <w:marTop w:val="0"/>
                      <w:marBottom w:val="0"/>
                      <w:divBdr>
                        <w:top w:val="none" w:sz="0" w:space="0" w:color="auto"/>
                        <w:left w:val="none" w:sz="0" w:space="0" w:color="auto"/>
                        <w:bottom w:val="none" w:sz="0" w:space="0" w:color="auto"/>
                        <w:right w:val="none" w:sz="0" w:space="0" w:color="auto"/>
                      </w:divBdr>
                    </w:div>
                    <w:div w:id="177624275">
                      <w:marLeft w:val="0"/>
                      <w:marRight w:val="0"/>
                      <w:marTop w:val="0"/>
                      <w:marBottom w:val="0"/>
                      <w:divBdr>
                        <w:top w:val="none" w:sz="0" w:space="0" w:color="auto"/>
                        <w:left w:val="none" w:sz="0" w:space="0" w:color="auto"/>
                        <w:bottom w:val="none" w:sz="0" w:space="0" w:color="auto"/>
                        <w:right w:val="none" w:sz="0" w:space="0" w:color="auto"/>
                      </w:divBdr>
                    </w:div>
                    <w:div w:id="874001392">
                      <w:marLeft w:val="0"/>
                      <w:marRight w:val="0"/>
                      <w:marTop w:val="0"/>
                      <w:marBottom w:val="0"/>
                      <w:divBdr>
                        <w:top w:val="none" w:sz="0" w:space="0" w:color="auto"/>
                        <w:left w:val="none" w:sz="0" w:space="0" w:color="auto"/>
                        <w:bottom w:val="none" w:sz="0" w:space="0" w:color="auto"/>
                        <w:right w:val="none" w:sz="0" w:space="0" w:color="auto"/>
                      </w:divBdr>
                    </w:div>
                    <w:div w:id="210460658">
                      <w:marLeft w:val="0"/>
                      <w:marRight w:val="0"/>
                      <w:marTop w:val="0"/>
                      <w:marBottom w:val="0"/>
                      <w:divBdr>
                        <w:top w:val="none" w:sz="0" w:space="0" w:color="auto"/>
                        <w:left w:val="none" w:sz="0" w:space="0" w:color="auto"/>
                        <w:bottom w:val="none" w:sz="0" w:space="0" w:color="auto"/>
                        <w:right w:val="none" w:sz="0" w:space="0" w:color="auto"/>
                      </w:divBdr>
                    </w:div>
                    <w:div w:id="1839730356">
                      <w:marLeft w:val="0"/>
                      <w:marRight w:val="0"/>
                      <w:marTop w:val="0"/>
                      <w:marBottom w:val="0"/>
                      <w:divBdr>
                        <w:top w:val="none" w:sz="0" w:space="0" w:color="auto"/>
                        <w:left w:val="none" w:sz="0" w:space="0" w:color="auto"/>
                        <w:bottom w:val="none" w:sz="0" w:space="0" w:color="auto"/>
                        <w:right w:val="none" w:sz="0" w:space="0" w:color="auto"/>
                      </w:divBdr>
                    </w:div>
                  </w:divsChild>
                </w:div>
                <w:div w:id="557861879">
                  <w:marLeft w:val="0"/>
                  <w:marRight w:val="0"/>
                  <w:marTop w:val="0"/>
                  <w:marBottom w:val="0"/>
                  <w:divBdr>
                    <w:top w:val="none" w:sz="0" w:space="0" w:color="auto"/>
                    <w:left w:val="none" w:sz="0" w:space="0" w:color="auto"/>
                    <w:bottom w:val="none" w:sz="0" w:space="0" w:color="auto"/>
                    <w:right w:val="none" w:sz="0" w:space="0" w:color="auto"/>
                  </w:divBdr>
                  <w:divsChild>
                    <w:div w:id="3739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ris.Jasko@mod.gov.lv" TargetMode="External"/><Relationship Id="rId4" Type="http://schemas.microsoft.com/office/2007/relationships/stylesWithEffects" Target="stylesWithEffects.xml"/><Relationship Id="rId9" Type="http://schemas.openxmlformats.org/officeDocument/2006/relationships/hyperlink" Target="http://likumi.lv/doc.php?id=475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E83A-421D-4857-9738-C071F618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7681</Words>
  <Characters>4379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Jasko</dc:creator>
  <cp:lastModifiedBy>Laimdota Adlere</cp:lastModifiedBy>
  <cp:revision>4</cp:revision>
  <cp:lastPrinted>2016-01-29T13:08:00Z</cp:lastPrinted>
  <dcterms:created xsi:type="dcterms:W3CDTF">2016-04-20T10:53:00Z</dcterms:created>
  <dcterms:modified xsi:type="dcterms:W3CDTF">2016-04-20T10:54:00Z</dcterms:modified>
</cp:coreProperties>
</file>